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jc w:val="center"/>
      </w:pPr>
      <w:r>
        <w:rPr>
          <w:rFonts w:ascii="Arial" w:cs="Arial" w:eastAsia="Arial" w:hAnsi="Arial"/>
          <w:b/>
          <w:bCs/>
          <w:color w:val="1A3C6E"/>
          <w:sz w:val="52"/>
          <w:szCs w:val="52"/>
        </w:rPr>
        <w:t xml:space="preserve">INSURANCE DOMAIN</w:t>
      </w:r>
    </w:p>
    <w:p>
      <w:pPr>
        <w:pBdr>
          <w:bottom w:val="single" w:color="F6AE2D" w:sz="8" w:space="6"/>
        </w:pBdr>
        <w:spacing w:after="200"/>
        <w:jc w:val="center"/>
      </w:pPr>
      <w:r>
        <w:rPr>
          <w:rFonts w:ascii="Arial" w:cs="Arial" w:eastAsia="Arial" w:hAnsi="Arial"/>
          <w:color w:val="2E86AB"/>
          <w:sz w:val="36"/>
          <w:szCs w:val="36"/>
        </w:rPr>
        <w:t xml:space="preserve">Interactive Analytics Report</w:t>
      </w:r>
    </w:p>
    <w:p>
      <w:pPr>
        <w:spacing w:after="0" w:before="140"/>
      </w:pPr>
    </w:p>
    <w:p>
      <w:pPr>
        <w:jc w:val="center"/>
      </w:pPr>
      <w:r>
        <w:rPr>
          <w:rFonts w:ascii="Arial" w:cs="Arial" w:eastAsia="Arial" w:hAnsi="Arial"/>
          <w:b/>
          <w:bCs/>
          <w:color w:val="1A1A2E"/>
          <w:sz w:val="28"/>
          <w:szCs w:val="28"/>
        </w:rPr>
        <w:t xml:space="preserve">Executive Summary</w:t>
      </w:r>
    </w:p>
    <w:p>
      <w:pPr>
        <w:spacing w:after="0" w:before="60"/>
      </w:pPr>
    </w:p>
    <w:p>
      <w:pPr>
        <w:jc w:val="center"/>
      </w:pPr>
      <w:r>
        <w:rPr>
          <w:rFonts w:ascii="Arial" w:cs="Arial" w:eastAsia="Arial" w:hAnsi="Arial"/>
          <w:i/>
          <w:iCs/>
          <w:color w:val="2E86AB"/>
          <w:sz w:val="22"/>
          <w:szCs w:val="22"/>
        </w:rPr>
        <w:t xml:space="preserve">Power BI Dashboard  •  Excel Statistical Analysis  •  Predictive Modeling</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3C6E" w:sz="3"/>
              <w:left w:val="single" w:color="1A3C6E" w:sz="3"/>
              <w:bottom w:val="single" w:color="1A3C6E" w:sz="3"/>
              <w:right w:val="single" w:color="1A3C6E" w:sz="3"/>
            </w:tcBorders>
            <w:shd w:fill="EAF2FB" w:val="clear"/>
            <w:tcMar>
              <w:top w:type="dxa" w:w="120"/>
              <w:left w:type="dxa" w:w="160"/>
              <w:bottom w:type="dxa" w:w="120"/>
              <w:right w:type="dxa" w:w="160"/>
            </w:tcMar>
            <w:vAlign w:val="center"/>
          </w:tcPr>
          <w:p>
            <w:pPr>
              <w:jc w:val="center"/>
            </w:pPr>
            <w:r>
              <w:rPr>
                <w:rFonts w:ascii="Arial" w:cs="Arial" w:eastAsia="Arial" w:hAnsi="Arial"/>
                <w:b/>
                <w:bCs/>
                <w:color w:val="1A3C6E"/>
                <w:sz w:val="36"/>
                <w:szCs w:val="36"/>
              </w:rPr>
              <w:t xml:space="preserve">682</w:t>
            </w:r>
          </w:p>
          <w:p>
            <w:pPr>
              <w:jc w:val="center"/>
            </w:pPr>
            <w:r>
              <w:rPr>
                <w:rFonts w:ascii="Arial" w:cs="Arial" w:eastAsia="Arial" w:hAnsi="Arial"/>
                <w:b/>
                <w:bCs/>
                <w:color w:val="1A3C6E"/>
                <w:sz w:val="16"/>
                <w:szCs w:val="16"/>
              </w:rPr>
              <w:t xml:space="preserve">Old Clients</w:t>
            </w:r>
          </w:p>
          <w:p>
            <w:pPr>
              <w:jc w:val="center"/>
            </w:pPr>
            <w:r>
              <w:rPr>
                <w:rFonts w:ascii="Arial" w:cs="Arial" w:eastAsia="Arial" w:hAnsi="Arial"/>
                <w:i/>
                <w:iCs/>
                <w:color w:val="1A3C6E"/>
                <w:sz w:val="16"/>
                <w:szCs w:val="16"/>
              </w:rPr>
              <w:t xml:space="preserve">Labelled dataset</w:t>
            </w:r>
          </w:p>
        </w:tc>
        <w:tc>
          <w:tcPr>
            <w:tcW w:type="dxa" w:w="2340"/>
            <w:tcBorders>
              <w:top w:val="single" w:color="2E86AB" w:sz="3"/>
              <w:left w:val="single" w:color="2E86AB" w:sz="3"/>
              <w:bottom w:val="single" w:color="2E86AB" w:sz="3"/>
              <w:right w:val="single" w:color="2E86AB" w:sz="3"/>
            </w:tcBorders>
            <w:shd w:fill="E1F5EE" w:val="clear"/>
            <w:tcMar>
              <w:top w:type="dxa" w:w="120"/>
              <w:left w:type="dxa" w:w="160"/>
              <w:bottom w:type="dxa" w:w="120"/>
              <w:right w:type="dxa" w:w="160"/>
            </w:tcMar>
            <w:vAlign w:val="center"/>
          </w:tcPr>
          <w:p>
            <w:pPr>
              <w:jc w:val="center"/>
            </w:pPr>
            <w:r>
              <w:rPr>
                <w:rFonts w:ascii="Arial" w:cs="Arial" w:eastAsia="Arial" w:hAnsi="Arial"/>
                <w:b/>
                <w:bCs/>
                <w:color w:val="2E86AB"/>
                <w:sz w:val="36"/>
                <w:szCs w:val="36"/>
              </w:rPr>
              <w:t xml:space="preserve">1,303</w:t>
            </w:r>
          </w:p>
          <w:p>
            <w:pPr>
              <w:jc w:val="center"/>
            </w:pPr>
            <w:r>
              <w:rPr>
                <w:rFonts w:ascii="Arial" w:cs="Arial" w:eastAsia="Arial" w:hAnsi="Arial"/>
                <w:b/>
                <w:bCs/>
                <w:color w:val="2E86AB"/>
                <w:sz w:val="16"/>
                <w:szCs w:val="16"/>
              </w:rPr>
              <w:t xml:space="preserve">New Clients</w:t>
            </w:r>
          </w:p>
          <w:p>
            <w:pPr>
              <w:jc w:val="center"/>
            </w:pPr>
            <w:r>
              <w:rPr>
                <w:rFonts w:ascii="Arial" w:cs="Arial" w:eastAsia="Arial" w:hAnsi="Arial"/>
                <w:i/>
                <w:iCs/>
                <w:color w:val="2E86AB"/>
                <w:sz w:val="16"/>
                <w:szCs w:val="16"/>
              </w:rPr>
              <w:t xml:space="preserve">Prospective clients</w:t>
            </w:r>
          </w:p>
        </w:tc>
        <w:tc>
          <w:tcPr>
            <w:tcW w:type="dxa" w:w="2340"/>
            <w:tcBorders>
              <w:top w:val="single" w:color="854F0B" w:sz="3"/>
              <w:left w:val="single" w:color="854F0B" w:sz="3"/>
              <w:bottom w:val="single" w:color="854F0B" w:sz="3"/>
              <w:right w:val="single" w:color="854F0B" w:sz="3"/>
            </w:tcBorders>
            <w:shd w:fill="FFF8EC" w:val="clear"/>
            <w:tcMar>
              <w:top w:type="dxa" w:w="120"/>
              <w:left w:type="dxa" w:w="160"/>
              <w:bottom w:type="dxa" w:w="120"/>
              <w:right w:type="dxa" w:w="160"/>
            </w:tcMar>
            <w:vAlign w:val="center"/>
          </w:tcPr>
          <w:p>
            <w:pPr>
              <w:jc w:val="center"/>
            </w:pPr>
            <w:r>
              <w:rPr>
                <w:rFonts w:ascii="Arial" w:cs="Arial" w:eastAsia="Arial" w:hAnsi="Arial"/>
                <w:b/>
                <w:bCs/>
                <w:color w:val="854F0B"/>
                <w:sz w:val="36"/>
                <w:szCs w:val="36"/>
              </w:rPr>
              <w:t xml:space="preserve">33.7%</w:t>
            </w:r>
          </w:p>
          <w:p>
            <w:pPr>
              <w:jc w:val="center"/>
            </w:pPr>
            <w:r>
              <w:rPr>
                <w:rFonts w:ascii="Arial" w:cs="Arial" w:eastAsia="Arial" w:hAnsi="Arial"/>
                <w:b/>
                <w:bCs/>
                <w:color w:val="854F0B"/>
                <w:sz w:val="16"/>
                <w:szCs w:val="16"/>
              </w:rPr>
              <w:t xml:space="preserve">Insurance Rate</w:t>
            </w:r>
          </w:p>
          <w:p>
            <w:pPr>
              <w:jc w:val="center"/>
            </w:pPr>
            <w:r>
              <w:rPr>
                <w:rFonts w:ascii="Arial" w:cs="Arial" w:eastAsia="Arial" w:hAnsi="Arial"/>
                <w:i/>
                <w:iCs/>
                <w:color w:val="854F0B"/>
                <w:sz w:val="16"/>
                <w:szCs w:val="16"/>
              </w:rPr>
              <w:t xml:space="preserve">Old client uptake</w:t>
            </w:r>
          </w:p>
        </w:tc>
        <w:tc>
          <w:tcPr>
            <w:tcW w:type="dxa" w:w="2340"/>
            <w:tcBorders>
              <w:top w:val="single" w:color="3B6D11" w:sz="3"/>
              <w:left w:val="single" w:color="3B6D11" w:sz="3"/>
              <w:bottom w:val="single" w:color="3B6D11" w:sz="3"/>
              <w:right w:val="single" w:color="3B6D11" w:sz="3"/>
            </w:tcBorders>
            <w:shd w:fill="EAF3DE" w:val="clear"/>
            <w:tcMar>
              <w:top w:type="dxa" w:w="120"/>
              <w:left w:type="dxa" w:w="160"/>
              <w:bottom w:type="dxa" w:w="120"/>
              <w:right w:type="dxa" w:w="160"/>
            </w:tcMar>
            <w:vAlign w:val="center"/>
          </w:tcPr>
          <w:p>
            <w:pPr>
              <w:jc w:val="center"/>
            </w:pPr>
            <w:r>
              <w:rPr>
                <w:rFonts w:ascii="Arial" w:cs="Arial" w:eastAsia="Arial" w:hAnsi="Arial"/>
                <w:b/>
                <w:bCs/>
                <w:color w:val="3B6D11"/>
                <w:sz w:val="36"/>
                <w:szCs w:val="36"/>
              </w:rPr>
              <w:t xml:space="preserve">78.0%</w:t>
            </w:r>
          </w:p>
          <w:p>
            <w:pPr>
              <w:jc w:val="center"/>
            </w:pPr>
            <w:r>
              <w:rPr>
                <w:rFonts w:ascii="Arial" w:cs="Arial" w:eastAsia="Arial" w:hAnsi="Arial"/>
                <w:b/>
                <w:bCs/>
                <w:color w:val="3B6D11"/>
                <w:sz w:val="16"/>
                <w:szCs w:val="16"/>
              </w:rPr>
              <w:t xml:space="preserve">Model Accuracy</w:t>
            </w:r>
          </w:p>
          <w:p>
            <w:pPr>
              <w:jc w:val="center"/>
            </w:pPr>
            <w:r>
              <w:rPr>
                <w:rFonts w:ascii="Arial" w:cs="Arial" w:eastAsia="Arial" w:hAnsi="Arial"/>
                <w:i/>
                <w:iCs/>
                <w:color w:val="3B6D11"/>
                <w:sz w:val="16"/>
                <w:szCs w:val="16"/>
              </w:rPr>
              <w:t xml:space="preserve">Logistic regression</w:t>
            </w:r>
          </w:p>
        </w:tc>
      </w:tr>
    </w:tbl>
    <w:p>
      <w:pPr>
        <w:spacing w:after="0" w:before="400"/>
      </w:pPr>
    </w:p>
    <w:p>
      <w:pPr>
        <w:jc w:val="center"/>
      </w:pPr>
      <w:r>
        <w:rPr>
          <w:rFonts w:ascii="Arial" w:cs="Arial" w:eastAsia="Arial" w:hAnsi="Arial"/>
          <w:color w:val="555555"/>
          <w:sz w:val="20"/>
          <w:szCs w:val="20"/>
        </w:rPr>
        <w:t xml:space="preserve">Submitted to: Dr. S. R. Khiani</w:t>
      </w:r>
    </w:p>
    <w:p>
      <w:pPr>
        <w:jc w:val="center"/>
      </w:pPr>
      <w:r>
        <w:rPr>
          <w:rFonts w:ascii="Arial" w:cs="Arial" w:eastAsia="Arial" w:hAnsi="Arial"/>
          <w:color w:val="888888"/>
          <w:sz w:val="18"/>
          <w:szCs w:val="18"/>
        </w:rPr>
        <w:t xml:space="preserve">Project-Based Learning (PBL)  |  Data Analytics &amp; Intelligence  |  April 2026</w:t>
      </w: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01</w:t>
            </w:r>
          </w:p>
        </w:tc>
        <w:tc>
          <w:tcPr>
            <w:tcW w:type="dxa" w:w="8800"/>
            <w:tcBorders>
              <w:top w:val="none" w:color="FFFFFF" w:sz="0"/>
              <w:left w:val="single" w:color="1A3C6E" w:sz="6"/>
              <w:bottom w:val="none" w:color="FFFFFF" w:sz="0"/>
              <w:right w:val="none" w:color="FFFFFF" w:sz="0"/>
            </w:tcBorders>
            <w:shd w:fill="EAF2FB" w:val="clear"/>
            <w:tcMar>
              <w:top w:type="dxa" w:w="80"/>
              <w:left w:type="dxa" w:w="180"/>
              <w:bottom w:type="dxa" w:w="80"/>
              <w:right w:type="dxa" w:w="120"/>
            </w:tcMar>
          </w:tcPr>
          <w:p>
            <w:r>
              <w:rPr>
                <w:rFonts w:ascii="Arial" w:cs="Arial" w:eastAsia="Arial" w:hAnsi="Arial"/>
                <w:b/>
                <w:bCs/>
                <w:color w:val="1A3C6E"/>
                <w:sz w:val="22"/>
                <w:szCs w:val="22"/>
              </w:rPr>
              <w:t xml:space="preserve">Project Overview &amp; Objective</w:t>
            </w:r>
          </w:p>
        </w:tc>
      </w:tr>
    </w:tbl>
    <w:p>
      <w:pPr>
        <w:spacing w:after="0" w:before="100"/>
      </w:pPr>
    </w:p>
    <w:p>
      <w:pPr>
        <w:spacing w:after="60" w:before="60"/>
        <w:jc w:val="left"/>
      </w:pPr>
      <w:r>
        <w:rPr>
          <w:rFonts w:ascii="Arial" w:cs="Arial" w:eastAsia="Arial" w:hAnsi="Arial"/>
          <w:b w:val="false"/>
          <w:bCs w:val="false"/>
          <w:i w:val="false"/>
          <w:iCs w:val="false"/>
          <w:color w:val="1A1A2E"/>
          <w:sz w:val="20"/>
          <w:szCs w:val="20"/>
        </w:rPr>
        <w:t xml:space="preserve">This report documents the complete data analytics workflow for the Insurance Domain Interactive Dashboard PBL assignment. Two travel insurance datasets — Old Clients (n=682, labelled) and New Clients (n=1,303, unlabelled) — were analyzed end-to-end: from data preparation and dimensional modeling in Power BI, through six-step statistical analysis in Excel, to predictive logistic regression scoring for new clients.</w:t>
      </w:r>
    </w:p>
    <w:p>
      <w:pPr>
        <w:spacing w:after="0" w:before="80"/>
      </w:pPr>
    </w:p>
    <w:p>
      <w:pPr>
        <w:spacing w:after="60" w:before="60"/>
        <w:jc w:val="left"/>
      </w:pPr>
      <w:r>
        <w:rPr>
          <w:rFonts w:ascii="Arial" w:cs="Arial" w:eastAsia="Arial" w:hAnsi="Arial"/>
          <w:b w:val="false"/>
          <w:bCs w:val="false"/>
          <w:i w:val="false"/>
          <w:iCs w:val="false"/>
          <w:color w:val="444444"/>
          <w:sz w:val="20"/>
          <w:szCs w:val="20"/>
        </w:rPr>
        <w:t xml:space="preserve">The primary objective was to identify the key drivers of travel insurance purchase, build an interactive Power BI dashboard, and train a binary classification model to rank new prospects by their likelihood of buying insurance.</w:t>
      </w:r>
    </w:p>
    <w:p>
      <w:pPr>
        <w:spacing w:after="0" w:before="120"/>
      </w:pPr>
    </w:p>
    <w:p>
      <w:pPr>
        <w:pStyle w:val="Heading2"/>
        <w:spacing w:after="100" w:before="200"/>
      </w:pPr>
      <w:r>
        <w:rPr>
          <w:rFonts w:ascii="Arial" w:cs="Arial" w:eastAsia="Arial" w:hAnsi="Arial"/>
          <w:b/>
          <w:bCs/>
          <w:color w:val="2E86AB"/>
          <w:sz w:val="22"/>
          <w:szCs w:val="22"/>
        </w:rPr>
        <w:t xml:space="preserve">1.1  Dataset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560"/>
        <w:gridCol w:w="2600"/>
      </w:tblGrid>
      <w:tr>
        <w:trPr>
          <w:tblHeader/>
        </w:trPr>
        <w:tc>
          <w:tcPr>
            <w:tcW w:type="dxa" w:w="28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Dataset</w:t>
            </w:r>
          </w:p>
        </w:tc>
        <w:tc>
          <w:tcPr>
            <w:tcW w:type="dxa" w:w="14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Records (n)</w:t>
            </w:r>
          </w:p>
        </w:tc>
        <w:tc>
          <w:tcPr>
            <w:tcW w:type="dxa" w:w="256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Target Variable</w:t>
            </w:r>
          </w:p>
        </w:tc>
        <w:tc>
          <w:tcPr>
            <w:tcW w:type="dxa" w:w="26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Use</w:t>
            </w:r>
          </w:p>
        </w:tc>
      </w:tr>
      <w:tr>
        <w:tc>
          <w:tcPr>
            <w:tcW w:type="dxa" w:w="2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Old Clients (Existing)</w:t>
            </w:r>
          </w:p>
        </w:tc>
        <w:tc>
          <w:tcPr>
            <w:tcW w:type="dxa" w:w="1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682</w:t>
            </w:r>
          </w:p>
        </w:tc>
        <w:tc>
          <w:tcPr>
            <w:tcW w:type="dxa" w:w="25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TravelInsurance = 0/1 (Known)</w:t>
            </w:r>
          </w:p>
        </w:tc>
        <w:tc>
          <w:tcPr>
            <w:tcW w:type="dxa" w:w="2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Statistical analysis &amp; model training</w:t>
            </w:r>
          </w:p>
        </w:tc>
      </w:tr>
      <w:tr>
        <w:tc>
          <w:tcPr>
            <w:tcW w:type="dxa" w:w="2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New Clients (Prospective)</w:t>
            </w:r>
          </w:p>
        </w:tc>
        <w:tc>
          <w:tcPr>
            <w:tcW w:type="dxa" w:w="1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1,303</w:t>
            </w:r>
          </w:p>
        </w:tc>
        <w:tc>
          <w:tcPr>
            <w:tcW w:type="dxa" w:w="25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TravelInsurance (Unlabelled)</w:t>
            </w:r>
          </w:p>
        </w:tc>
        <w:tc>
          <w:tcPr>
            <w:tcW w:type="dxa" w:w="26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Prediction &amp; scoring target</w:t>
            </w:r>
          </w:p>
        </w:tc>
      </w:tr>
    </w:tbl>
    <w:p>
      <w:pPr>
        <w:spacing w:after="0" w:before="120"/>
      </w:pPr>
    </w:p>
    <w:p>
      <w:pPr>
        <w:pStyle w:val="Heading2"/>
        <w:spacing w:after="100" w:before="200"/>
      </w:pPr>
      <w:r>
        <w:rPr>
          <w:rFonts w:ascii="Arial" w:cs="Arial" w:eastAsia="Arial" w:hAnsi="Arial"/>
          <w:b/>
          <w:bCs/>
          <w:color w:val="2E86AB"/>
          <w:sz w:val="22"/>
          <w:szCs w:val="22"/>
        </w:rPr>
        <w:t xml:space="preserve">1.2  Variables Analysed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Variable</w:t>
            </w:r>
          </w:p>
        </w:tc>
        <w:tc>
          <w:tcPr>
            <w:tcW w:type="dxa" w:w="18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Type</w:t>
            </w:r>
          </w:p>
        </w:tc>
        <w:tc>
          <w:tcPr>
            <w:tcW w:type="dxa" w:w="496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Description</w:t>
            </w:r>
          </w:p>
        </w:tc>
      </w:tr>
      <w:tr>
        <w:tc>
          <w:tcPr>
            <w:tcW w:type="dxa" w:w="2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Age</w:t>
            </w:r>
          </w:p>
        </w:tc>
        <w:tc>
          <w:tcPr>
            <w:tcW w:type="dxa" w:w="1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Continuous</w:t>
            </w:r>
          </w:p>
        </w:tc>
        <w:tc>
          <w:tcPr>
            <w:tcW w:type="dxa" w:w="49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25 – 35 years</w:t>
            </w:r>
          </w:p>
        </w:tc>
      </w:tr>
      <w:tr>
        <w:tc>
          <w:tcPr>
            <w:tcW w:type="dxa" w:w="26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Government Sector Worker</w:t>
            </w:r>
          </w:p>
        </w:tc>
        <w:tc>
          <w:tcPr>
            <w:tcW w:type="dxa" w:w="1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Binary (0/1)</w:t>
            </w:r>
          </w:p>
        </w:tc>
        <w:tc>
          <w:tcPr>
            <w:tcW w:type="dxa" w:w="49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Employed in government sector</w:t>
            </w:r>
          </w:p>
        </w:tc>
      </w:tr>
      <w:tr>
        <w:tc>
          <w:tcPr>
            <w:tcW w:type="dxa" w:w="2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GraduateOrNot</w:t>
            </w:r>
          </w:p>
        </w:tc>
        <w:tc>
          <w:tcPr>
            <w:tcW w:type="dxa" w:w="1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Binary (0/1)</w:t>
            </w:r>
          </w:p>
        </w:tc>
        <w:tc>
          <w:tcPr>
            <w:tcW w:type="dxa" w:w="49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College graduate</w:t>
            </w:r>
          </w:p>
        </w:tc>
      </w:tr>
      <w:tr>
        <w:tc>
          <w:tcPr>
            <w:tcW w:type="dxa" w:w="26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AnnualIncome (₹)</w:t>
            </w:r>
          </w:p>
        </w:tc>
        <w:tc>
          <w:tcPr>
            <w:tcW w:type="dxa" w:w="1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Continuous</w:t>
            </w:r>
          </w:p>
        </w:tc>
        <w:tc>
          <w:tcPr>
            <w:tcW w:type="dxa" w:w="49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₹3 L – ₹18 L</w:t>
            </w:r>
          </w:p>
        </w:tc>
      </w:tr>
      <w:tr>
        <w:tc>
          <w:tcPr>
            <w:tcW w:type="dxa" w:w="2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FamilyMembers</w:t>
            </w:r>
          </w:p>
        </w:tc>
        <w:tc>
          <w:tcPr>
            <w:tcW w:type="dxa" w:w="1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Discrete</w:t>
            </w:r>
          </w:p>
        </w:tc>
        <w:tc>
          <w:tcPr>
            <w:tcW w:type="dxa" w:w="49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2 – 9 members</w:t>
            </w:r>
          </w:p>
        </w:tc>
      </w:tr>
      <w:tr>
        <w:tc>
          <w:tcPr>
            <w:tcW w:type="dxa" w:w="26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ChronicDiseases</w:t>
            </w:r>
          </w:p>
        </w:tc>
        <w:tc>
          <w:tcPr>
            <w:tcW w:type="dxa" w:w="1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Binary (0/1)</w:t>
            </w:r>
          </w:p>
        </w:tc>
        <w:tc>
          <w:tcPr>
            <w:tcW w:type="dxa" w:w="49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Has chronic illness</w:t>
            </w:r>
          </w:p>
        </w:tc>
      </w:tr>
      <w:tr>
        <w:tc>
          <w:tcPr>
            <w:tcW w:type="dxa" w:w="2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FrequentFlyer</w:t>
            </w:r>
          </w:p>
        </w:tc>
        <w:tc>
          <w:tcPr>
            <w:tcW w:type="dxa" w:w="1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Binary (0/1)</w:t>
            </w:r>
          </w:p>
        </w:tc>
        <w:tc>
          <w:tcPr>
            <w:tcW w:type="dxa" w:w="49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Flies frequently</w:t>
            </w:r>
          </w:p>
        </w:tc>
      </w:tr>
      <w:tr>
        <w:tc>
          <w:tcPr>
            <w:tcW w:type="dxa" w:w="26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EverTravelledAbroad</w:t>
            </w:r>
          </w:p>
        </w:tc>
        <w:tc>
          <w:tcPr>
            <w:tcW w:type="dxa" w:w="1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Binary (0/1)</w:t>
            </w:r>
          </w:p>
        </w:tc>
        <w:tc>
          <w:tcPr>
            <w:tcW w:type="dxa" w:w="49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Has travelled internationally</w:t>
            </w:r>
          </w:p>
        </w:tc>
      </w:tr>
      <w:tr>
        <w:tc>
          <w:tcPr>
            <w:tcW w:type="dxa" w:w="2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TravelInsurance</w:t>
            </w:r>
          </w:p>
        </w:tc>
        <w:tc>
          <w:tcPr>
            <w:tcW w:type="dxa" w:w="1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Binary (0/1)</w:t>
            </w:r>
          </w:p>
        </w:tc>
        <w:tc>
          <w:tcPr>
            <w:tcW w:type="dxa" w:w="49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Target: purchased insurance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6AE2D" w:sz="12"/>
              <w:bottom w:val="none" w:color="FFFFFF" w:sz="0"/>
              <w:right w:val="none" w:color="FFFFFF" w:sz="0"/>
            </w:tcBorders>
            <w:shd w:fill="FFF8EC" w:val="clear"/>
            <w:tcMar>
              <w:top w:type="dxa" w:w="100"/>
              <w:left w:type="dxa" w:w="200"/>
              <w:bottom w:type="dxa" w:w="100"/>
              <w:right w:type="dxa" w:w="160"/>
            </w:tcMar>
          </w:tcPr>
          <w:p>
            <w:r>
              <w:rPr>
                <w:rFonts w:ascii="Arial" w:cs="Arial" w:eastAsia="Arial" w:hAnsi="Arial"/>
                <w:b/>
                <w:bCs/>
                <w:color w:val="854F0B"/>
                <w:sz w:val="20"/>
                <w:szCs w:val="20"/>
              </w:rPr>
              <w:t xml:space="preserve">Key Insight:  </w:t>
            </w:r>
            <w:r>
              <w:rPr>
                <w:rFonts w:ascii="Arial" w:cs="Arial" w:eastAsia="Arial" w:hAnsi="Arial"/>
                <w:i/>
                <w:iCs/>
                <w:color w:val="1A1A2E"/>
                <w:sz w:val="20"/>
                <w:szCs w:val="20"/>
              </w:rPr>
              <w:t xml:space="preserve">Both datasets were clean with no missing values. Binary variables were verified to contain only 0/1 values. The New Clients dataset intentionally had TravelInsurance blank — this is correct by design, as these are unlabelled prospective clients.</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02</w:t>
            </w:r>
          </w:p>
        </w:tc>
        <w:tc>
          <w:tcPr>
            <w:tcW w:type="dxa" w:w="8800"/>
            <w:tcBorders>
              <w:top w:val="none" w:color="FFFFFF" w:sz="0"/>
              <w:left w:val="single" w:color="1A3C6E" w:sz="6"/>
              <w:bottom w:val="none" w:color="FFFFFF" w:sz="0"/>
              <w:right w:val="none" w:color="FFFFFF" w:sz="0"/>
            </w:tcBorders>
            <w:shd w:fill="EAF2FB" w:val="clear"/>
            <w:tcMar>
              <w:top w:type="dxa" w:w="80"/>
              <w:left w:type="dxa" w:w="180"/>
              <w:bottom w:type="dxa" w:w="80"/>
              <w:right w:type="dxa" w:w="120"/>
            </w:tcMar>
          </w:tcPr>
          <w:p>
            <w:r>
              <w:rPr>
                <w:rFonts w:ascii="Arial" w:cs="Arial" w:eastAsia="Arial" w:hAnsi="Arial"/>
                <w:b/>
                <w:bCs/>
                <w:color w:val="1A3C6E"/>
                <w:sz w:val="22"/>
                <w:szCs w:val="22"/>
              </w:rPr>
              <w:t xml:space="preserve">Data Modeling &amp; Power BI Dashboard</w:t>
            </w:r>
          </w:p>
        </w:tc>
      </w:tr>
    </w:tbl>
    <w:p>
      <w:pPr>
        <w:spacing w:after="0" w:before="100"/>
      </w:pPr>
    </w:p>
    <w:p>
      <w:pPr>
        <w:pStyle w:val="Heading2"/>
        <w:spacing w:after="100" w:before="200"/>
      </w:pPr>
      <w:r>
        <w:rPr>
          <w:rFonts w:ascii="Arial" w:cs="Arial" w:eastAsia="Arial" w:hAnsi="Arial"/>
          <w:b/>
          <w:bCs/>
          <w:color w:val="2E86AB"/>
          <w:sz w:val="22"/>
          <w:szCs w:val="22"/>
        </w:rPr>
        <w:t xml:space="preserve">2.1  Star Schema Model (Power BI)</w:t>
      </w:r>
    </w:p>
    <w:p>
      <w:pPr>
        <w:spacing w:after="60" w:before="60"/>
        <w:jc w:val="left"/>
      </w:pPr>
      <w:r>
        <w:rPr>
          <w:rFonts w:ascii="Arial" w:cs="Arial" w:eastAsia="Arial" w:hAnsi="Arial"/>
          <w:b w:val="false"/>
          <w:bCs w:val="false"/>
          <w:i w:val="false"/>
          <w:iCs w:val="false"/>
          <w:color w:val="1A1A2E"/>
          <w:sz w:val="20"/>
          <w:szCs w:val="20"/>
        </w:rPr>
        <w:t xml:space="preserve">A Star Schema was built inside Power BI with one fact table and three dimension tables connected via one-to-many relationships: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600"/>
        <w:gridCol w:w="2360"/>
      </w:tblGrid>
      <w:tr>
        <w:trPr>
          <w:tblHeader/>
        </w:trPr>
        <w:tc>
          <w:tcPr>
            <w:tcW w:type="dxa" w:w="20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Table</w:t>
            </w:r>
          </w:p>
        </w:tc>
        <w:tc>
          <w:tcPr>
            <w:tcW w:type="dxa" w:w="14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Type</w:t>
            </w:r>
          </w:p>
        </w:tc>
        <w:tc>
          <w:tcPr>
            <w:tcW w:type="dxa" w:w="36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Key Columns</w:t>
            </w:r>
          </w:p>
        </w:tc>
        <w:tc>
          <w:tcPr>
            <w:tcW w:type="dxa" w:w="236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Purpose</w:t>
            </w:r>
          </w:p>
        </w:tc>
      </w:tr>
      <w:tr>
        <w:tc>
          <w:tcPr>
            <w:tcW w:type="dxa" w:w="20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FactInsurance</w:t>
            </w:r>
          </w:p>
        </w:tc>
        <w:tc>
          <w:tcPr>
            <w:tcW w:type="dxa" w:w="1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Fact</w:t>
            </w:r>
          </w:p>
        </w:tc>
        <w:tc>
          <w:tcPr>
            <w:tcW w:type="dxa" w:w="3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TravelInsurance, AnnualIncome, Age, FamilyMembers, FrequentFlyer, ChronicDiseases, EverTravelledAbroad</w:t>
            </w:r>
          </w:p>
        </w:tc>
        <w:tc>
          <w:tcPr>
            <w:tcW w:type="dxa" w:w="23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Core transactional data</w:t>
            </w:r>
          </w:p>
        </w:tc>
      </w:tr>
      <w:tr>
        <w:tc>
          <w:tcPr>
            <w:tcW w:type="dxa" w:w="20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DimClient</w:t>
            </w:r>
          </w:p>
        </w:tc>
        <w:tc>
          <w:tcPr>
            <w:tcW w:type="dxa" w:w="1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Dimension</w:t>
            </w:r>
          </w:p>
        </w:tc>
        <w:tc>
          <w:tcPr>
            <w:tcW w:type="dxa" w:w="36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ClientID, Clienttype, GovtSectorWorker, GraduateOrNot</w:t>
            </w:r>
          </w:p>
        </w:tc>
        <w:tc>
          <w:tcPr>
            <w:tcW w:type="dxa" w:w="23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Client profile attributes</w:t>
            </w:r>
          </w:p>
        </w:tc>
      </w:tr>
      <w:tr>
        <w:tc>
          <w:tcPr>
            <w:tcW w:type="dxa" w:w="20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DimAge</w:t>
            </w:r>
          </w:p>
        </w:tc>
        <w:tc>
          <w:tcPr>
            <w:tcW w:type="dxa" w:w="1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Dimension</w:t>
            </w:r>
          </w:p>
        </w:tc>
        <w:tc>
          <w:tcPr>
            <w:tcW w:type="dxa" w:w="3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Age, AgeGroup (25-27, 28-29, …)</w:t>
            </w:r>
          </w:p>
        </w:tc>
        <w:tc>
          <w:tcPr>
            <w:tcW w:type="dxa" w:w="23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Age-based segmentation</w:t>
            </w:r>
          </w:p>
        </w:tc>
      </w:tr>
      <w:tr>
        <w:tc>
          <w:tcPr>
            <w:tcW w:type="dxa" w:w="20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DimIncome</w:t>
            </w:r>
          </w:p>
        </w:tc>
        <w:tc>
          <w:tcPr>
            <w:tcW w:type="dxa" w:w="1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Dimension</w:t>
            </w:r>
          </w:p>
        </w:tc>
        <w:tc>
          <w:tcPr>
            <w:tcW w:type="dxa" w:w="36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IncomeBracket (&lt;5L, 5-7L, …, &gt;12L)</w:t>
            </w:r>
          </w:p>
        </w:tc>
        <w:tc>
          <w:tcPr>
            <w:tcW w:type="dxa" w:w="23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Income-group drill-down</w:t>
            </w:r>
          </w:p>
        </w:tc>
      </w:tr>
    </w:tbl>
    <w:p>
      <w:pPr>
        <w:spacing w:after="0" w:before="100"/>
      </w:pPr>
    </w:p>
    <w:p>
      <w:pPr>
        <w:pStyle w:val="Heading2"/>
        <w:spacing w:after="100" w:before="200"/>
      </w:pPr>
      <w:r>
        <w:rPr>
          <w:rFonts w:ascii="Arial" w:cs="Arial" w:eastAsia="Arial" w:hAnsi="Arial"/>
          <w:b/>
          <w:bCs/>
          <w:color w:val="2E86AB"/>
          <w:sz w:val="22"/>
          <w:szCs w:val="22"/>
        </w:rPr>
        <w:t xml:space="preserve">2.2  DAX Measures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Measure</w:t>
            </w:r>
          </w:p>
        </w:tc>
        <w:tc>
          <w:tcPr>
            <w:tcW w:type="dxa" w:w="44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DAX Formula</w:t>
            </w:r>
          </w:p>
        </w:tc>
        <w:tc>
          <w:tcPr>
            <w:tcW w:type="dxa" w:w="236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Result</w:t>
            </w:r>
          </w:p>
        </w:tc>
      </w:tr>
      <w:tr>
        <w:tc>
          <w:tcPr>
            <w:tcW w:type="dxa" w:w="2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Total Old Clients</w:t>
            </w:r>
          </w:p>
        </w:tc>
        <w:tc>
          <w:tcPr>
            <w:tcW w:type="dxa" w:w="4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CALCULATE(COUNTROWS(FactInsurance), DimClient[Clienttype]="Existing")</w:t>
            </w:r>
          </w:p>
        </w:tc>
        <w:tc>
          <w:tcPr>
            <w:tcW w:type="dxa" w:w="23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682</w:t>
            </w:r>
          </w:p>
        </w:tc>
      </w:tr>
      <w:tr>
        <w:tc>
          <w:tcPr>
            <w:tcW w:type="dxa" w:w="26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Total New Clients</w:t>
            </w:r>
          </w:p>
        </w:tc>
        <w:tc>
          <w:tcPr>
            <w:tcW w:type="dxa" w:w="4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CALCULATE(COUNTROWS(FactInsurance), DimClient[Clienttype]="New")</w:t>
            </w:r>
          </w:p>
        </w:tc>
        <w:tc>
          <w:tcPr>
            <w:tcW w:type="dxa" w:w="23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1,303</w:t>
            </w:r>
          </w:p>
        </w:tc>
      </w:tr>
      <w:tr>
        <w:tc>
          <w:tcPr>
            <w:tcW w:type="dxa" w:w="2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Insured Count</w:t>
            </w:r>
          </w:p>
        </w:tc>
        <w:tc>
          <w:tcPr>
            <w:tcW w:type="dxa" w:w="4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CALCULATE(COUNTROWS(FactInsurance), FactInsurance[TravelInsurance]=1)</w:t>
            </w:r>
          </w:p>
        </w:tc>
        <w:tc>
          <w:tcPr>
            <w:tcW w:type="dxa" w:w="23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230</w:t>
            </w:r>
          </w:p>
        </w:tc>
      </w:tr>
      <w:tr>
        <w:tc>
          <w:tcPr>
            <w:tcW w:type="dxa" w:w="26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Not Insured Count</w:t>
            </w:r>
          </w:p>
        </w:tc>
        <w:tc>
          <w:tcPr>
            <w:tcW w:type="dxa" w:w="4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CALCULATE(COUNTROWS(FactInsurance), FactInsurance[TravelInsurance]=0)</w:t>
            </w:r>
          </w:p>
        </w:tc>
        <w:tc>
          <w:tcPr>
            <w:tcW w:type="dxa" w:w="23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452</w:t>
            </w:r>
          </w:p>
        </w:tc>
      </w:tr>
      <w:tr>
        <w:tc>
          <w:tcPr>
            <w:tcW w:type="dxa" w:w="2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Insurance Rate %</w:t>
            </w:r>
          </w:p>
        </w:tc>
        <w:tc>
          <w:tcPr>
            <w:tcW w:type="dxa" w:w="4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DIVIDE([Insured Count], [Total Old Clients], 0) * 100</w:t>
            </w:r>
          </w:p>
        </w:tc>
        <w:tc>
          <w:tcPr>
            <w:tcW w:type="dxa" w:w="23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33.7%</w:t>
            </w:r>
          </w:p>
        </w:tc>
      </w:tr>
      <w:tr>
        <w:tc>
          <w:tcPr>
            <w:tcW w:type="dxa" w:w="26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Avg Annual Income</w:t>
            </w:r>
          </w:p>
        </w:tc>
        <w:tc>
          <w:tcPr>
            <w:tcW w:type="dxa" w:w="4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AVERAGE(FactInsurance[AnnualIncome])</w:t>
            </w:r>
          </w:p>
        </w:tc>
        <w:tc>
          <w:tcPr>
            <w:tcW w:type="dxa" w:w="23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₹9,47,800</w:t>
            </w:r>
          </w:p>
        </w:tc>
      </w:tr>
      <w:tr>
        <w:tc>
          <w:tcPr>
            <w:tcW w:type="dxa" w:w="2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Insurance Rate % (Dynamic)</w:t>
            </w:r>
          </w:p>
        </w:tc>
        <w:tc>
          <w:tcPr>
            <w:tcW w:type="dxa" w:w="4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DIVIDE(CALCULATE(COUNTROWS,TravelInsurance=1), COUNTROWS, 0)</w:t>
            </w:r>
          </w:p>
        </w:tc>
        <w:tc>
          <w:tcPr>
            <w:tcW w:type="dxa" w:w="23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Responds to all slicers</w:t>
            </w:r>
          </w:p>
        </w:tc>
      </w:tr>
    </w:tbl>
    <w:p>
      <w:pPr>
        <w:spacing w:after="0" w:before="100"/>
      </w:pPr>
    </w:p>
    <w:p>
      <w:pPr>
        <w:pStyle w:val="Heading2"/>
        <w:spacing w:after="100" w:before="200"/>
      </w:pPr>
      <w:r>
        <w:rPr>
          <w:rFonts w:ascii="Arial" w:cs="Arial" w:eastAsia="Arial" w:hAnsi="Arial"/>
          <w:b/>
          <w:bCs/>
          <w:color w:val="2E86AB"/>
          <w:sz w:val="22"/>
          <w:szCs w:val="22"/>
        </w:rPr>
        <w:t xml:space="preserve">2.3  Dashboard Visual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Visual</w:t>
            </w:r>
          </w:p>
        </w:tc>
        <w:tc>
          <w:tcPr>
            <w:tcW w:type="dxa" w:w="20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Type</w:t>
            </w:r>
          </w:p>
        </w:tc>
        <w:tc>
          <w:tcPr>
            <w:tcW w:type="dxa" w:w="496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Key Finding</w:t>
            </w:r>
          </w:p>
        </w:tc>
      </w:tr>
      <w:tr>
        <w:tc>
          <w:tcPr>
            <w:tcW w:type="dxa" w:w="2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KPI Cards (top strip)</w:t>
            </w:r>
          </w:p>
        </w:tc>
        <w:tc>
          <w:tcPr>
            <w:tcW w:type="dxa" w:w="20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5 Card visuals</w:t>
            </w:r>
          </w:p>
        </w:tc>
        <w:tc>
          <w:tcPr>
            <w:tcW w:type="dxa" w:w="49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682 old | 1,303 new | 230 insured | 452 not | 33.7% rate</w:t>
            </w:r>
          </w:p>
        </w:tc>
      </w:tr>
      <w:tr>
        <w:tc>
          <w:tcPr>
            <w:tcW w:type="dxa" w:w="2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Insurance by Key Factors</w:t>
            </w:r>
          </w:p>
        </w:tc>
        <w:tc>
          <w:tcPr>
            <w:tcW w:type="dxa" w:w="20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Grouped bar chart</w:t>
            </w:r>
          </w:p>
        </w:tc>
        <w:tc>
          <w:tcPr>
            <w:tcW w:type="dxa" w:w="49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Travelled Abroad (75%) &amp; Frequent Flyer (54%) are top drivers</w:t>
            </w:r>
          </w:p>
        </w:tc>
      </w:tr>
      <w:tr>
        <w:tc>
          <w:tcPr>
            <w:tcW w:type="dxa" w:w="2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Rate by Income Bracket</w:t>
            </w:r>
          </w:p>
        </w:tc>
        <w:tc>
          <w:tcPr>
            <w:tcW w:type="dxa" w:w="20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Line chart</w:t>
            </w:r>
          </w:p>
        </w:tc>
        <w:tc>
          <w:tcPr>
            <w:tcW w:type="dxa" w:w="49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Dramatic jump to 65.1% for income &gt;12L</w:t>
            </w:r>
          </w:p>
        </w:tc>
      </w:tr>
      <w:tr>
        <w:tc>
          <w:tcPr>
            <w:tcW w:type="dxa" w:w="2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Rate by Age Group</w:t>
            </w:r>
          </w:p>
        </w:tc>
        <w:tc>
          <w:tcPr>
            <w:tcW w:type="dxa" w:w="20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Column chart</w:t>
            </w:r>
          </w:p>
        </w:tc>
        <w:tc>
          <w:tcPr>
            <w:tcW w:type="dxa" w:w="49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34-35 yr bracket highest at 49.1%</w:t>
            </w:r>
          </w:p>
        </w:tc>
      </w:tr>
      <w:tr>
        <w:tc>
          <w:tcPr>
            <w:tcW w:type="dxa" w:w="2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Family Size vs Rate</w:t>
            </w:r>
          </w:p>
        </w:tc>
        <w:tc>
          <w:tcPr>
            <w:tcW w:type="dxa" w:w="20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Column chart</w:t>
            </w:r>
          </w:p>
        </w:tc>
        <w:tc>
          <w:tcPr>
            <w:tcW w:type="dxa" w:w="49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Family size 6-7 shows notably higher uptake</w:t>
            </w:r>
          </w:p>
        </w:tc>
      </w:tr>
      <w:tr>
        <w:tc>
          <w:tcPr>
            <w:tcW w:type="dxa" w:w="2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Old vs New Profile</w:t>
            </w:r>
          </w:p>
        </w:tc>
        <w:tc>
          <w:tcPr>
            <w:tcW w:type="dxa" w:w="20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Clustered column</w:t>
            </w:r>
          </w:p>
        </w:tc>
        <w:tc>
          <w:tcPr>
            <w:tcW w:type="dxa" w:w="49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Statistically identical populations</w:t>
            </w:r>
          </w:p>
        </w:tc>
      </w:tr>
      <w:tr>
        <w:tc>
          <w:tcPr>
            <w:tcW w:type="dxa" w:w="2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New Client Score Table</w:t>
            </w:r>
          </w:p>
        </w:tc>
        <w:tc>
          <w:tcPr>
            <w:tcW w:type="dxa" w:w="20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Table visual</w:t>
            </w:r>
          </w:p>
        </w:tc>
        <w:tc>
          <w:tcPr>
            <w:tcW w:type="dxa" w:w="49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1,303 new clients ranked by Insurance Score</w:t>
            </w:r>
          </w:p>
        </w:tc>
      </w:tr>
      <w:tr>
        <w:tc>
          <w:tcPr>
            <w:tcW w:type="dxa" w:w="2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4 Dropdown Slicers</w:t>
            </w:r>
          </w:p>
        </w:tc>
        <w:tc>
          <w:tcPr>
            <w:tcW w:type="dxa" w:w="20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Slicer visuals</w:t>
            </w:r>
          </w:p>
        </w:tc>
        <w:tc>
          <w:tcPr>
            <w:tcW w:type="dxa" w:w="49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Frequent Flyer, Abroad, Govt Worker, Chronic Disease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6AE2D" w:sz="12"/>
              <w:bottom w:val="none" w:color="FFFFFF" w:sz="0"/>
              <w:right w:val="none" w:color="FFFFFF" w:sz="0"/>
            </w:tcBorders>
            <w:shd w:fill="FFF8EC" w:val="clear"/>
            <w:tcMar>
              <w:top w:type="dxa" w:w="100"/>
              <w:left w:type="dxa" w:w="200"/>
              <w:bottom w:type="dxa" w:w="100"/>
              <w:right w:type="dxa" w:w="160"/>
            </w:tcMar>
          </w:tcPr>
          <w:p>
            <w:r>
              <w:rPr>
                <w:rFonts w:ascii="Arial" w:cs="Arial" w:eastAsia="Arial" w:hAnsi="Arial"/>
                <w:b/>
                <w:bCs/>
                <w:color w:val="854F0B"/>
                <w:sz w:val="20"/>
                <w:szCs w:val="20"/>
              </w:rPr>
              <w:t xml:space="preserve">Key Insight:  </w:t>
            </w:r>
            <w:r>
              <w:rPr>
                <w:rFonts w:ascii="Arial" w:cs="Arial" w:eastAsia="Arial" w:hAnsi="Arial"/>
                <w:i/>
                <w:iCs/>
                <w:color w:val="1A1A2E"/>
                <w:sz w:val="20"/>
                <w:szCs w:val="20"/>
              </w:rPr>
              <w:t xml:space="preserve">The dynamic Insurance Rate % measure responds to all slicer clicks automatically through Power BI's filter context propagation — no manual wiring required. CALCULATE stacks the TravelInsurance=1 condition on top of whichever slicers the user has selected.</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03</w:t>
            </w:r>
          </w:p>
        </w:tc>
        <w:tc>
          <w:tcPr>
            <w:tcW w:type="dxa" w:w="8800"/>
            <w:tcBorders>
              <w:top w:val="none" w:color="FFFFFF" w:sz="0"/>
              <w:left w:val="single" w:color="1A3C6E" w:sz="6"/>
              <w:bottom w:val="none" w:color="FFFFFF" w:sz="0"/>
              <w:right w:val="none" w:color="FFFFFF" w:sz="0"/>
            </w:tcBorders>
            <w:shd w:fill="EAF2FB" w:val="clear"/>
            <w:tcMar>
              <w:top w:type="dxa" w:w="80"/>
              <w:left w:type="dxa" w:w="180"/>
              <w:bottom w:type="dxa" w:w="80"/>
              <w:right w:type="dxa" w:w="120"/>
            </w:tcMar>
          </w:tcPr>
          <w:p>
            <w:r>
              <w:rPr>
                <w:rFonts w:ascii="Arial" w:cs="Arial" w:eastAsia="Arial" w:hAnsi="Arial"/>
                <w:b/>
                <w:bCs/>
                <w:color w:val="1A3C6E"/>
                <w:sz w:val="22"/>
                <w:szCs w:val="22"/>
              </w:rPr>
              <w:t xml:space="preserve">Statistical Analysis — Excel Analysis ToolPak (6 Steps)</w:t>
            </w:r>
          </w:p>
        </w:tc>
      </w:tr>
    </w:tbl>
    <w:p>
      <w:pPr>
        <w:spacing w:after="0" w:before="80"/>
      </w:pPr>
    </w:p>
    <w:p>
      <w:pPr>
        <w:pStyle w:val="Heading2"/>
        <w:spacing w:after="100" w:before="200"/>
      </w:pPr>
      <w:r>
        <w:rPr>
          <w:rFonts w:ascii="Arial" w:cs="Arial" w:eastAsia="Arial" w:hAnsi="Arial"/>
          <w:b/>
          <w:bCs/>
          <w:color w:val="2E86AB"/>
          <w:sz w:val="22"/>
          <w:szCs w:val="22"/>
        </w:rPr>
        <w:t xml:space="preserve">Step 1 — Descriptive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000"/>
        <w:gridCol w:w="1000"/>
        <w:gridCol w:w="1000"/>
        <w:gridCol w:w="960"/>
      </w:tblGrid>
      <w:tr>
        <w:trPr>
          <w:tblHeader/>
        </w:trPr>
        <w:tc>
          <w:tcPr>
            <w:tcW w:type="dxa" w:w="28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Variable (Old, n=682)</w:t>
            </w:r>
          </w:p>
        </w:tc>
        <w:tc>
          <w:tcPr>
            <w:tcW w:type="dxa" w:w="13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Mean</w:t>
            </w:r>
          </w:p>
        </w:tc>
        <w:tc>
          <w:tcPr>
            <w:tcW w:type="dxa" w:w="13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Std Dev</w:t>
            </w:r>
          </w:p>
        </w:tc>
        <w:tc>
          <w:tcPr>
            <w:tcW w:type="dxa" w:w="10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Min</w:t>
            </w:r>
          </w:p>
        </w:tc>
        <w:tc>
          <w:tcPr>
            <w:tcW w:type="dxa" w:w="10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Median</w:t>
            </w:r>
          </w:p>
        </w:tc>
        <w:tc>
          <w:tcPr>
            <w:tcW w:type="dxa" w:w="10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Max</w:t>
            </w:r>
          </w:p>
        </w:tc>
        <w:tc>
          <w:tcPr>
            <w:tcW w:type="dxa" w:w="96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Skewness</w:t>
            </w:r>
          </w:p>
        </w:tc>
      </w:tr>
      <w:tr>
        <w:tc>
          <w:tcPr>
            <w:tcW w:type="dxa" w:w="2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Age (years)</w:t>
            </w:r>
          </w:p>
        </w:tc>
        <w:tc>
          <w:tcPr>
            <w:tcW w:type="dxa" w:w="13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29.64</w:t>
            </w:r>
          </w:p>
        </w:tc>
        <w:tc>
          <w:tcPr>
            <w:tcW w:type="dxa" w:w="13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2.90</w:t>
            </w:r>
          </w:p>
        </w:tc>
        <w:tc>
          <w:tcPr>
            <w:tcW w:type="dxa" w:w="10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25</w:t>
            </w:r>
          </w:p>
        </w:tc>
        <w:tc>
          <w:tcPr>
            <w:tcW w:type="dxa" w:w="10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29</w:t>
            </w:r>
          </w:p>
        </w:tc>
        <w:tc>
          <w:tcPr>
            <w:tcW w:type="dxa" w:w="10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35</w:t>
            </w:r>
          </w:p>
        </w:tc>
        <w:tc>
          <w:tcPr>
            <w:tcW w:type="dxa" w:w="9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0.241</w:t>
            </w:r>
          </w:p>
        </w:tc>
      </w:tr>
      <w:tr>
        <w:tc>
          <w:tcPr>
            <w:tcW w:type="dxa" w:w="2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Annual Income (₹)</w:t>
            </w:r>
          </w:p>
        </w:tc>
        <w:tc>
          <w:tcPr>
            <w:tcW w:type="dxa" w:w="13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9,47,801</w:t>
            </w:r>
          </w:p>
        </w:tc>
        <w:tc>
          <w:tcPr>
            <w:tcW w:type="dxa" w:w="13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3,71,392</w:t>
            </w:r>
          </w:p>
        </w:tc>
        <w:tc>
          <w:tcPr>
            <w:tcW w:type="dxa" w:w="10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3,00,000</w:t>
            </w:r>
          </w:p>
        </w:tc>
        <w:tc>
          <w:tcPr>
            <w:tcW w:type="dxa" w:w="10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9,50,000</w:t>
            </w:r>
          </w:p>
        </w:tc>
        <w:tc>
          <w:tcPr>
            <w:tcW w:type="dxa" w:w="10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18,00,000</w:t>
            </w:r>
          </w:p>
        </w:tc>
        <w:tc>
          <w:tcPr>
            <w:tcW w:type="dxa" w:w="9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0.002</w:t>
            </w:r>
          </w:p>
        </w:tc>
      </w:tr>
      <w:tr>
        <w:tc>
          <w:tcPr>
            <w:tcW w:type="dxa" w:w="2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Family Members</w:t>
            </w:r>
          </w:p>
        </w:tc>
        <w:tc>
          <w:tcPr>
            <w:tcW w:type="dxa" w:w="13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4.84</w:t>
            </w:r>
          </w:p>
        </w:tc>
        <w:tc>
          <w:tcPr>
            <w:tcW w:type="dxa" w:w="13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1.62</w:t>
            </w:r>
          </w:p>
        </w:tc>
        <w:tc>
          <w:tcPr>
            <w:tcW w:type="dxa" w:w="10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2</w:t>
            </w:r>
          </w:p>
        </w:tc>
        <w:tc>
          <w:tcPr>
            <w:tcW w:type="dxa" w:w="10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5</w:t>
            </w:r>
          </w:p>
        </w:tc>
        <w:tc>
          <w:tcPr>
            <w:tcW w:type="dxa" w:w="10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9</w:t>
            </w:r>
          </w:p>
        </w:tc>
        <w:tc>
          <w:tcPr>
            <w:tcW w:type="dxa" w:w="9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0.619</w:t>
            </w:r>
          </w:p>
        </w:tc>
      </w:tr>
    </w:tbl>
    <w:p>
      <w:pPr>
        <w:spacing w:after="0" w:before="80"/>
      </w:pPr>
    </w:p>
    <w:p>
      <w:pPr>
        <w:pStyle w:val="Heading2"/>
        <w:spacing w:after="100" w:before="200"/>
      </w:pPr>
      <w:r>
        <w:rPr>
          <w:rFonts w:ascii="Arial" w:cs="Arial" w:eastAsia="Arial" w:hAnsi="Arial"/>
          <w:b/>
          <w:bCs/>
          <w:color w:val="2E86AB"/>
          <w:sz w:val="22"/>
          <w:szCs w:val="22"/>
        </w:rPr>
        <w:t xml:space="preserve">Step 2 — Normality Test (Shapiro-Wilk, α=0.05)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500"/>
        <w:gridCol w:w="1300"/>
        <w:gridCol w:w="1960"/>
      </w:tblGrid>
      <w:tr>
        <w:trPr>
          <w:tblHeader/>
        </w:trPr>
        <w:tc>
          <w:tcPr>
            <w:tcW w:type="dxa" w:w="28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Variable</w:t>
            </w:r>
          </w:p>
        </w:tc>
        <w:tc>
          <w:tcPr>
            <w:tcW w:type="dxa" w:w="18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W Statistic</w:t>
            </w:r>
          </w:p>
        </w:tc>
        <w:tc>
          <w:tcPr>
            <w:tcW w:type="dxa" w:w="15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p-value</w:t>
            </w:r>
          </w:p>
        </w:tc>
        <w:tc>
          <w:tcPr>
            <w:tcW w:type="dxa" w:w="13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Normal?</w:t>
            </w:r>
          </w:p>
        </w:tc>
        <w:tc>
          <w:tcPr>
            <w:tcW w:type="dxa" w:w="196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Decision</w:t>
            </w:r>
          </w:p>
        </w:tc>
      </w:tr>
      <w:tr>
        <w:tc>
          <w:tcPr>
            <w:tcW w:type="dxa" w:w="2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Age</w:t>
            </w:r>
          </w:p>
        </w:tc>
        <w:tc>
          <w:tcPr>
            <w:tcW w:type="dxa" w:w="1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0.9327</w:t>
            </w:r>
          </w:p>
        </w:tc>
        <w:tc>
          <w:tcPr>
            <w:tcW w:type="dxa" w:w="15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&lt;0.001</w:t>
            </w:r>
          </w:p>
        </w:tc>
        <w:tc>
          <w:tcPr>
            <w:tcW w:type="dxa" w:w="13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No</w:t>
            </w:r>
          </w:p>
        </w:tc>
        <w:tc>
          <w:tcPr>
            <w:tcW w:type="dxa" w:w="19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Reject H₀</w:t>
            </w:r>
          </w:p>
        </w:tc>
      </w:tr>
      <w:tr>
        <w:tc>
          <w:tcPr>
            <w:tcW w:type="dxa" w:w="2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Annual Income</w:t>
            </w:r>
          </w:p>
        </w:tc>
        <w:tc>
          <w:tcPr>
            <w:tcW w:type="dxa" w:w="1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0.9594</w:t>
            </w:r>
          </w:p>
        </w:tc>
        <w:tc>
          <w:tcPr>
            <w:tcW w:type="dxa" w:w="15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&lt;0.001</w:t>
            </w:r>
          </w:p>
        </w:tc>
        <w:tc>
          <w:tcPr>
            <w:tcW w:type="dxa" w:w="13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No</w:t>
            </w:r>
          </w:p>
        </w:tc>
        <w:tc>
          <w:tcPr>
            <w:tcW w:type="dxa" w:w="19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Reject H₀</w:t>
            </w:r>
          </w:p>
        </w:tc>
      </w:tr>
      <w:tr>
        <w:tc>
          <w:tcPr>
            <w:tcW w:type="dxa" w:w="2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Family Members</w:t>
            </w:r>
          </w:p>
        </w:tc>
        <w:tc>
          <w:tcPr>
            <w:tcW w:type="dxa" w:w="1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0.9287</w:t>
            </w:r>
          </w:p>
        </w:tc>
        <w:tc>
          <w:tcPr>
            <w:tcW w:type="dxa" w:w="15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&lt;0.001</w:t>
            </w:r>
          </w:p>
        </w:tc>
        <w:tc>
          <w:tcPr>
            <w:tcW w:type="dxa" w:w="13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No</w:t>
            </w:r>
          </w:p>
        </w:tc>
        <w:tc>
          <w:tcPr>
            <w:tcW w:type="dxa" w:w="19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Reject H₀</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6AE2D" w:sz="12"/>
              <w:bottom w:val="none" w:color="FFFFFF" w:sz="0"/>
              <w:right w:val="none" w:color="FFFFFF" w:sz="0"/>
            </w:tcBorders>
            <w:shd w:fill="FFF8EC" w:val="clear"/>
            <w:tcMar>
              <w:top w:type="dxa" w:w="100"/>
              <w:left w:type="dxa" w:w="200"/>
              <w:bottom w:type="dxa" w:w="100"/>
              <w:right w:type="dxa" w:w="160"/>
            </w:tcMar>
          </w:tcPr>
          <w:p>
            <w:r>
              <w:rPr>
                <w:rFonts w:ascii="Arial" w:cs="Arial" w:eastAsia="Arial" w:hAnsi="Arial"/>
                <w:b/>
                <w:bCs/>
                <w:color w:val="854F0B"/>
                <w:sz w:val="20"/>
                <w:szCs w:val="20"/>
              </w:rPr>
              <w:t xml:space="preserve">Key Insight:  </w:t>
            </w:r>
            <w:r>
              <w:rPr>
                <w:rFonts w:ascii="Arial" w:cs="Arial" w:eastAsia="Arial" w:hAnsi="Arial"/>
                <w:i/>
                <w:iCs/>
                <w:color w:val="1A1A2E"/>
                <w:sz w:val="20"/>
                <w:szCs w:val="20"/>
              </w:rPr>
              <w:t xml:space="preserve">None of the variables follow a normal distribution. However, the Central Limit Theorem (n=682, n=1,303) ensures T-Tests remain statistically valid.</w:t>
            </w:r>
          </w:p>
        </w:tc>
      </w:tr>
    </w:tbl>
    <w:p>
      <w:pPr>
        <w:spacing w:after="0" w:before="80"/>
      </w:pPr>
    </w:p>
    <w:p>
      <w:pPr>
        <w:pStyle w:val="Heading2"/>
        <w:spacing w:after="100" w:before="200"/>
      </w:pPr>
      <w:r>
        <w:rPr>
          <w:rFonts w:ascii="Arial" w:cs="Arial" w:eastAsia="Arial" w:hAnsi="Arial"/>
          <w:b/>
          <w:bCs/>
          <w:color w:val="2E86AB"/>
          <w:sz w:val="22"/>
          <w:szCs w:val="22"/>
        </w:rPr>
        <w:t xml:space="preserve">Step 3 — Independent T-Test</w:t>
      </w:r>
    </w:p>
    <w:p>
      <w:pPr>
        <w:spacing w:after="60" w:before="60"/>
        <w:jc w:val="left"/>
      </w:pPr>
      <w:r>
        <w:rPr>
          <w:rFonts w:ascii="Arial" w:cs="Arial" w:eastAsia="Arial" w:hAnsi="Arial"/>
          <w:b/>
          <w:bCs/>
          <w:i w:val="false"/>
          <w:iCs w:val="false"/>
          <w:color w:val="1A3C6E"/>
          <w:sz w:val="20"/>
          <w:szCs w:val="20"/>
        </w:rPr>
        <w:t xml:space="preserve">3A: Insured vs Not Insured (Old Clients)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200"/>
        <w:gridCol w:w="960"/>
      </w:tblGrid>
      <w:tr>
        <w:trPr>
          <w:tblHeader/>
        </w:trPr>
        <w:tc>
          <w:tcPr>
            <w:tcW w:type="dxa" w:w="24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Variable</w:t>
            </w:r>
          </w:p>
        </w:tc>
        <w:tc>
          <w:tcPr>
            <w:tcW w:type="dxa" w:w="16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Mean (Insured)</w:t>
            </w:r>
          </w:p>
        </w:tc>
        <w:tc>
          <w:tcPr>
            <w:tcW w:type="dxa" w:w="16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Mean (Not Ins.)</w:t>
            </w:r>
          </w:p>
        </w:tc>
        <w:tc>
          <w:tcPr>
            <w:tcW w:type="dxa" w:w="16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t-Statistic</w:t>
            </w:r>
          </w:p>
        </w:tc>
        <w:tc>
          <w:tcPr>
            <w:tcW w:type="dxa" w:w="12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p-value</w:t>
            </w:r>
          </w:p>
        </w:tc>
        <w:tc>
          <w:tcPr>
            <w:tcW w:type="dxa" w:w="96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Significant?</w:t>
            </w:r>
          </w:p>
        </w:tc>
      </w:tr>
      <w:tr>
        <w:tc>
          <w:tcPr>
            <w:tcW w:type="dxa" w:w="2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Age</w:t>
            </w:r>
          </w:p>
        </w:tc>
        <w:tc>
          <w:tcPr>
            <w:tcW w:type="dxa" w:w="1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29.9</w:t>
            </w:r>
          </w:p>
        </w:tc>
        <w:tc>
          <w:tcPr>
            <w:tcW w:type="dxa" w:w="1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29.5</w:t>
            </w:r>
          </w:p>
        </w:tc>
        <w:tc>
          <w:tcPr>
            <w:tcW w:type="dxa" w:w="1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1.8635</w:t>
            </w:r>
          </w:p>
        </w:tc>
        <w:tc>
          <w:tcPr>
            <w:tcW w:type="dxa" w:w="12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0.063</w:t>
            </w:r>
          </w:p>
        </w:tc>
        <w:tc>
          <w:tcPr>
            <w:tcW w:type="dxa" w:w="9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No</w:t>
            </w:r>
          </w:p>
        </w:tc>
      </w:tr>
      <w:tr>
        <w:tc>
          <w:tcPr>
            <w:tcW w:type="dxa" w:w="2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Annual Income (₹)</w:t>
            </w:r>
          </w:p>
        </w:tc>
        <w:tc>
          <w:tcPr>
            <w:tcW w:type="dxa" w:w="16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11,54,783</w:t>
            </w:r>
          </w:p>
        </w:tc>
        <w:tc>
          <w:tcPr>
            <w:tcW w:type="dxa" w:w="16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8,42,478</w:t>
            </w:r>
          </w:p>
        </w:tc>
        <w:tc>
          <w:tcPr>
            <w:tcW w:type="dxa" w:w="16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11.308</w:t>
            </w:r>
          </w:p>
        </w:tc>
        <w:tc>
          <w:tcPr>
            <w:tcW w:type="dxa" w:w="12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&lt;0.001</w:t>
            </w:r>
          </w:p>
        </w:tc>
        <w:tc>
          <w:tcPr>
            <w:tcW w:type="dxa" w:w="9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YES ✓</w:t>
            </w:r>
          </w:p>
        </w:tc>
      </w:tr>
      <w:tr>
        <w:tc>
          <w:tcPr>
            <w:tcW w:type="dxa" w:w="2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Family Members</w:t>
            </w:r>
          </w:p>
        </w:tc>
        <w:tc>
          <w:tcPr>
            <w:tcW w:type="dxa" w:w="1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5.0</w:t>
            </w:r>
          </w:p>
        </w:tc>
        <w:tc>
          <w:tcPr>
            <w:tcW w:type="dxa" w:w="1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4.8</w:t>
            </w:r>
          </w:p>
        </w:tc>
        <w:tc>
          <w:tcPr>
            <w:tcW w:type="dxa" w:w="1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1.6877</w:t>
            </w:r>
          </w:p>
        </w:tc>
        <w:tc>
          <w:tcPr>
            <w:tcW w:type="dxa" w:w="12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0.092</w:t>
            </w:r>
          </w:p>
        </w:tc>
        <w:tc>
          <w:tcPr>
            <w:tcW w:type="dxa" w:w="9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No</w:t>
            </w:r>
          </w:p>
        </w:tc>
      </w:tr>
    </w:tbl>
    <w:p>
      <w:pPr>
        <w:spacing w:after="0" w:before="60"/>
      </w:pPr>
    </w:p>
    <w:p>
      <w:pPr>
        <w:spacing w:after="60" w:before="60"/>
        <w:jc w:val="left"/>
      </w:pPr>
      <w:r>
        <w:rPr>
          <w:rFonts w:ascii="Arial" w:cs="Arial" w:eastAsia="Arial" w:hAnsi="Arial"/>
          <w:b w:val="false"/>
          <w:bCs w:val="false"/>
          <w:i/>
          <w:iCs/>
          <w:color w:val="555555"/>
          <w:sz w:val="20"/>
          <w:szCs w:val="20"/>
        </w:rPr>
        <w:t xml:space="preserve">3B: Old Clients vs New Clients — all three variables show p&gt;0.09 (not significant), confirming both populations are statistically identical.</w:t>
      </w:r>
    </w:p>
    <w:p>
      <w:pPr>
        <w:spacing w:after="0" w:before="80"/>
      </w:pPr>
    </w:p>
    <w:p>
      <w:pPr>
        <w:pStyle w:val="Heading2"/>
        <w:spacing w:after="100" w:before="200"/>
      </w:pPr>
      <w:r>
        <w:rPr>
          <w:rFonts w:ascii="Arial" w:cs="Arial" w:eastAsia="Arial" w:hAnsi="Arial"/>
          <w:b/>
          <w:bCs/>
          <w:color w:val="2E86AB"/>
          <w:sz w:val="22"/>
          <w:szCs w:val="22"/>
        </w:rPr>
        <w:t xml:space="preserve">Step 4 — Chi-Square Test of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600"/>
        <w:gridCol w:w="1200"/>
        <w:gridCol w:w="1360"/>
        <w:gridCol w:w="1400"/>
      </w:tblGrid>
      <w:tr>
        <w:trPr>
          <w:tblHeader/>
        </w:trPr>
        <w:tc>
          <w:tcPr>
            <w:tcW w:type="dxa" w:w="26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Factor</w:t>
            </w:r>
          </w:p>
        </w:tc>
        <w:tc>
          <w:tcPr>
            <w:tcW w:type="dxa" w:w="12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Insured %</w:t>
            </w:r>
          </w:p>
        </w:tc>
        <w:tc>
          <w:tcPr>
            <w:tcW w:type="dxa" w:w="16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χ² Statistic</w:t>
            </w:r>
          </w:p>
        </w:tc>
        <w:tc>
          <w:tcPr>
            <w:tcW w:type="dxa" w:w="12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p-value</w:t>
            </w:r>
          </w:p>
        </w:tc>
        <w:tc>
          <w:tcPr>
            <w:tcW w:type="dxa" w:w="136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Significant?</w:t>
            </w:r>
          </w:p>
        </w:tc>
        <w:tc>
          <w:tcPr>
            <w:tcW w:type="dxa" w:w="14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Cramér's V</w:t>
            </w:r>
          </w:p>
        </w:tc>
      </w:tr>
      <w:tr>
        <w:tc>
          <w:tcPr>
            <w:tcW w:type="dxa" w:w="2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Government Sector Worker</w:t>
            </w:r>
          </w:p>
        </w:tc>
        <w:tc>
          <w:tcPr>
            <w:tcW w:type="dxa" w:w="12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21.6%</w:t>
            </w:r>
          </w:p>
        </w:tc>
        <w:tc>
          <w:tcPr>
            <w:tcW w:type="dxa" w:w="1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14.902</w:t>
            </w:r>
          </w:p>
        </w:tc>
        <w:tc>
          <w:tcPr>
            <w:tcW w:type="dxa" w:w="12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&lt;0.001</w:t>
            </w:r>
          </w:p>
        </w:tc>
        <w:tc>
          <w:tcPr>
            <w:tcW w:type="dxa" w:w="13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YES ✓</w:t>
            </w:r>
          </w:p>
        </w:tc>
        <w:tc>
          <w:tcPr>
            <w:tcW w:type="dxa" w:w="1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0.148</w:t>
            </w:r>
          </w:p>
        </w:tc>
      </w:tr>
      <w:tr>
        <w:tc>
          <w:tcPr>
            <w:tcW w:type="dxa" w:w="26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GraduateOrNot</w:t>
            </w:r>
          </w:p>
        </w:tc>
        <w:tc>
          <w:tcPr>
            <w:tcW w:type="dxa" w:w="12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33.4%</w:t>
            </w:r>
          </w:p>
        </w:tc>
        <w:tc>
          <w:tcPr>
            <w:tcW w:type="dxa" w:w="16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0.063</w:t>
            </w:r>
          </w:p>
        </w:tc>
        <w:tc>
          <w:tcPr>
            <w:tcW w:type="dxa" w:w="12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0.803</w:t>
            </w:r>
          </w:p>
        </w:tc>
        <w:tc>
          <w:tcPr>
            <w:tcW w:type="dxa" w:w="13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No</w:t>
            </w:r>
          </w:p>
        </w:tc>
        <w:tc>
          <w:tcPr>
            <w:tcW w:type="dxa" w:w="1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0.010</w:t>
            </w:r>
          </w:p>
        </w:tc>
      </w:tr>
      <w:tr>
        <w:tc>
          <w:tcPr>
            <w:tcW w:type="dxa" w:w="2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Chronic Disease</w:t>
            </w:r>
          </w:p>
        </w:tc>
        <w:tc>
          <w:tcPr>
            <w:tcW w:type="dxa" w:w="12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36.1%</w:t>
            </w:r>
          </w:p>
        </w:tc>
        <w:tc>
          <w:tcPr>
            <w:tcW w:type="dxa" w:w="1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0.543</w:t>
            </w:r>
          </w:p>
        </w:tc>
        <w:tc>
          <w:tcPr>
            <w:tcW w:type="dxa" w:w="12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0.461</w:t>
            </w:r>
          </w:p>
        </w:tc>
        <w:tc>
          <w:tcPr>
            <w:tcW w:type="dxa" w:w="13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No</w:t>
            </w:r>
          </w:p>
        </w:tc>
        <w:tc>
          <w:tcPr>
            <w:tcW w:type="dxa" w:w="1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0.028</w:t>
            </w:r>
          </w:p>
        </w:tc>
      </w:tr>
      <w:tr>
        <w:tc>
          <w:tcPr>
            <w:tcW w:type="dxa" w:w="26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Frequent Flyer</w:t>
            </w:r>
          </w:p>
        </w:tc>
        <w:tc>
          <w:tcPr>
            <w:tcW w:type="dxa" w:w="12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54.2%</w:t>
            </w:r>
          </w:p>
        </w:tc>
        <w:tc>
          <w:tcPr>
            <w:tcW w:type="dxa" w:w="16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32.98</w:t>
            </w:r>
          </w:p>
        </w:tc>
        <w:tc>
          <w:tcPr>
            <w:tcW w:type="dxa" w:w="12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&lt;0.001</w:t>
            </w:r>
          </w:p>
        </w:tc>
        <w:tc>
          <w:tcPr>
            <w:tcW w:type="dxa" w:w="13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YES ✓</w:t>
            </w:r>
          </w:p>
        </w:tc>
        <w:tc>
          <w:tcPr>
            <w:tcW w:type="dxa" w:w="1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0.220</w:t>
            </w:r>
          </w:p>
        </w:tc>
      </w:tr>
      <w:tr>
        <w:tc>
          <w:tcPr>
            <w:tcW w:type="dxa" w:w="2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Ever Travelled Abroad</w:t>
            </w:r>
          </w:p>
        </w:tc>
        <w:tc>
          <w:tcPr>
            <w:tcW w:type="dxa" w:w="12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75.0%</w:t>
            </w:r>
          </w:p>
        </w:tc>
        <w:tc>
          <w:tcPr>
            <w:tcW w:type="dxa" w:w="1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117.846</w:t>
            </w:r>
          </w:p>
        </w:tc>
        <w:tc>
          <w:tcPr>
            <w:tcW w:type="dxa" w:w="12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&lt;0.001</w:t>
            </w:r>
          </w:p>
        </w:tc>
        <w:tc>
          <w:tcPr>
            <w:tcW w:type="dxa" w:w="13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YES ✓</w:t>
            </w:r>
          </w:p>
        </w:tc>
        <w:tc>
          <w:tcPr>
            <w:tcW w:type="dxa" w:w="1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0.416</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04</w:t>
            </w:r>
          </w:p>
        </w:tc>
        <w:tc>
          <w:tcPr>
            <w:tcW w:type="dxa" w:w="8800"/>
            <w:tcBorders>
              <w:top w:val="none" w:color="FFFFFF" w:sz="0"/>
              <w:left w:val="single" w:color="1A3C6E" w:sz="6"/>
              <w:bottom w:val="none" w:color="FFFFFF" w:sz="0"/>
              <w:right w:val="none" w:color="FFFFFF" w:sz="0"/>
            </w:tcBorders>
            <w:shd w:fill="EAF2FB" w:val="clear"/>
            <w:tcMar>
              <w:top w:type="dxa" w:w="80"/>
              <w:left w:type="dxa" w:w="180"/>
              <w:bottom w:type="dxa" w:w="80"/>
              <w:right w:type="dxa" w:w="120"/>
            </w:tcMar>
          </w:tcPr>
          <w:p>
            <w:r>
              <w:rPr>
                <w:rFonts w:ascii="Arial" w:cs="Arial" w:eastAsia="Arial" w:hAnsi="Arial"/>
                <w:b/>
                <w:bCs/>
                <w:color w:val="1A3C6E"/>
                <w:sz w:val="22"/>
                <w:szCs w:val="22"/>
              </w:rPr>
              <w:t xml:space="preserve">Correlation, Regression &amp; Model Performance</w:t>
            </w:r>
          </w:p>
        </w:tc>
      </w:tr>
    </w:tbl>
    <w:p>
      <w:pPr>
        <w:spacing w:after="0" w:before="100"/>
      </w:pPr>
    </w:p>
    <w:p>
      <w:pPr>
        <w:pStyle w:val="Heading2"/>
        <w:spacing w:after="100" w:before="200"/>
      </w:pPr>
      <w:r>
        <w:rPr>
          <w:rFonts w:ascii="Arial" w:cs="Arial" w:eastAsia="Arial" w:hAnsi="Arial"/>
          <w:b/>
          <w:bCs/>
          <w:color w:val="2E86AB"/>
          <w:sz w:val="22"/>
          <w:szCs w:val="22"/>
        </w:rPr>
        <w:t xml:space="preserve">Step 5 — Pearson Correlation with TravelInsurance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800"/>
        <w:gridCol w:w="1500"/>
        <w:gridCol w:w="1500"/>
        <w:gridCol w:w="1960"/>
      </w:tblGrid>
      <w:tr>
        <w:trPr>
          <w:tblHeader/>
        </w:trPr>
        <w:tc>
          <w:tcPr>
            <w:tcW w:type="dxa" w:w="28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Variable</w:t>
            </w:r>
          </w:p>
        </w:tc>
        <w:tc>
          <w:tcPr>
            <w:tcW w:type="dxa" w:w="8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w:t>
            </w:r>
          </w:p>
        </w:tc>
        <w:tc>
          <w:tcPr>
            <w:tcW w:type="dxa" w:w="8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r²</w:t>
            </w:r>
          </w:p>
        </w:tc>
        <w:tc>
          <w:tcPr>
            <w:tcW w:type="dxa" w:w="15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Strength</w:t>
            </w:r>
          </w:p>
        </w:tc>
        <w:tc>
          <w:tcPr>
            <w:tcW w:type="dxa" w:w="15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Direction</w:t>
            </w:r>
          </w:p>
        </w:tc>
        <w:tc>
          <w:tcPr>
            <w:tcW w:type="dxa" w:w="196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Significant?</w:t>
            </w:r>
          </w:p>
        </w:tc>
      </w:tr>
      <w:tr>
        <w:tc>
          <w:tcPr>
            <w:tcW w:type="dxa" w:w="2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EverTravelledAbroad</w:t>
            </w:r>
          </w:p>
        </w:tc>
        <w:tc>
          <w:tcPr>
            <w:tcW w:type="dxa" w:w="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0.420</w:t>
            </w:r>
          </w:p>
        </w:tc>
        <w:tc>
          <w:tcPr>
            <w:tcW w:type="dxa" w:w="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17.6%</w:t>
            </w:r>
          </w:p>
        </w:tc>
        <w:tc>
          <w:tcPr>
            <w:tcW w:type="dxa" w:w="15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Moderate</w:t>
            </w:r>
          </w:p>
        </w:tc>
        <w:tc>
          <w:tcPr>
            <w:tcW w:type="dxa" w:w="15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Positive</w:t>
            </w:r>
          </w:p>
        </w:tc>
        <w:tc>
          <w:tcPr>
            <w:tcW w:type="dxa" w:w="19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YES ✓</w:t>
            </w:r>
          </w:p>
        </w:tc>
      </w:tr>
      <w:tr>
        <w:tc>
          <w:tcPr>
            <w:tcW w:type="dxa" w:w="2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AnnualIncome</w:t>
            </w:r>
          </w:p>
        </w:tc>
        <w:tc>
          <w:tcPr>
            <w:tcW w:type="dxa" w:w="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0.398</w:t>
            </w:r>
          </w:p>
        </w:tc>
        <w:tc>
          <w:tcPr>
            <w:tcW w:type="dxa" w:w="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15.8%</w:t>
            </w:r>
          </w:p>
        </w:tc>
        <w:tc>
          <w:tcPr>
            <w:tcW w:type="dxa" w:w="15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Moderate</w:t>
            </w:r>
          </w:p>
        </w:tc>
        <w:tc>
          <w:tcPr>
            <w:tcW w:type="dxa" w:w="15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Positive</w:t>
            </w:r>
          </w:p>
        </w:tc>
        <w:tc>
          <w:tcPr>
            <w:tcW w:type="dxa" w:w="19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YES ✓</w:t>
            </w:r>
          </w:p>
        </w:tc>
      </w:tr>
      <w:tr>
        <w:tc>
          <w:tcPr>
            <w:tcW w:type="dxa" w:w="2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FrequentFlyer</w:t>
            </w:r>
          </w:p>
        </w:tc>
        <w:tc>
          <w:tcPr>
            <w:tcW w:type="dxa" w:w="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0.224</w:t>
            </w:r>
          </w:p>
        </w:tc>
        <w:tc>
          <w:tcPr>
            <w:tcW w:type="dxa" w:w="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5.0%</w:t>
            </w:r>
          </w:p>
        </w:tc>
        <w:tc>
          <w:tcPr>
            <w:tcW w:type="dxa" w:w="15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Weak</w:t>
            </w:r>
          </w:p>
        </w:tc>
        <w:tc>
          <w:tcPr>
            <w:tcW w:type="dxa" w:w="15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Positive</w:t>
            </w:r>
          </w:p>
        </w:tc>
        <w:tc>
          <w:tcPr>
            <w:tcW w:type="dxa" w:w="19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YES ✓</w:t>
            </w:r>
          </w:p>
        </w:tc>
      </w:tr>
      <w:tr>
        <w:tc>
          <w:tcPr>
            <w:tcW w:type="dxa" w:w="2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Age</w:t>
            </w:r>
          </w:p>
        </w:tc>
        <w:tc>
          <w:tcPr>
            <w:tcW w:type="dxa" w:w="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0.071</w:t>
            </w:r>
          </w:p>
        </w:tc>
        <w:tc>
          <w:tcPr>
            <w:tcW w:type="dxa" w:w="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0.5%</w:t>
            </w:r>
          </w:p>
        </w:tc>
        <w:tc>
          <w:tcPr>
            <w:tcW w:type="dxa" w:w="15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Negligible</w:t>
            </w:r>
          </w:p>
        </w:tc>
        <w:tc>
          <w:tcPr>
            <w:tcW w:type="dxa" w:w="15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Positive</w:t>
            </w:r>
          </w:p>
        </w:tc>
        <w:tc>
          <w:tcPr>
            <w:tcW w:type="dxa" w:w="19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No</w:t>
            </w:r>
          </w:p>
        </w:tc>
      </w:tr>
      <w:tr>
        <w:tc>
          <w:tcPr>
            <w:tcW w:type="dxa" w:w="2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FamilyMembers</w:t>
            </w:r>
          </w:p>
        </w:tc>
        <w:tc>
          <w:tcPr>
            <w:tcW w:type="dxa" w:w="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0.065</w:t>
            </w:r>
          </w:p>
        </w:tc>
        <w:tc>
          <w:tcPr>
            <w:tcW w:type="dxa" w:w="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0.4%</w:t>
            </w:r>
          </w:p>
        </w:tc>
        <w:tc>
          <w:tcPr>
            <w:tcW w:type="dxa" w:w="15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Negligible</w:t>
            </w:r>
          </w:p>
        </w:tc>
        <w:tc>
          <w:tcPr>
            <w:tcW w:type="dxa" w:w="15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Positive</w:t>
            </w:r>
          </w:p>
        </w:tc>
        <w:tc>
          <w:tcPr>
            <w:tcW w:type="dxa" w:w="19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No</w:t>
            </w:r>
          </w:p>
        </w:tc>
      </w:tr>
      <w:tr>
        <w:tc>
          <w:tcPr>
            <w:tcW w:type="dxa" w:w="2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ChronicDiseases</w:t>
            </w:r>
          </w:p>
        </w:tc>
        <w:tc>
          <w:tcPr>
            <w:tcW w:type="dxa" w:w="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0.032</w:t>
            </w:r>
          </w:p>
        </w:tc>
        <w:tc>
          <w:tcPr>
            <w:tcW w:type="dxa" w:w="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0.1%</w:t>
            </w:r>
          </w:p>
        </w:tc>
        <w:tc>
          <w:tcPr>
            <w:tcW w:type="dxa" w:w="15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Negligible</w:t>
            </w:r>
          </w:p>
        </w:tc>
        <w:tc>
          <w:tcPr>
            <w:tcW w:type="dxa" w:w="15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Positive</w:t>
            </w:r>
          </w:p>
        </w:tc>
        <w:tc>
          <w:tcPr>
            <w:tcW w:type="dxa" w:w="19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No</w:t>
            </w:r>
          </w:p>
        </w:tc>
      </w:tr>
      <w:tr>
        <w:tc>
          <w:tcPr>
            <w:tcW w:type="dxa" w:w="2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GraduateOrNot</w:t>
            </w:r>
          </w:p>
        </w:tc>
        <w:tc>
          <w:tcPr>
            <w:tcW w:type="dxa" w:w="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-0.014</w:t>
            </w:r>
          </w:p>
        </w:tc>
        <w:tc>
          <w:tcPr>
            <w:tcW w:type="dxa" w:w="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0.0%</w:t>
            </w:r>
          </w:p>
        </w:tc>
        <w:tc>
          <w:tcPr>
            <w:tcW w:type="dxa" w:w="15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Negligible</w:t>
            </w:r>
          </w:p>
        </w:tc>
        <w:tc>
          <w:tcPr>
            <w:tcW w:type="dxa" w:w="15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Negative</w:t>
            </w:r>
          </w:p>
        </w:tc>
        <w:tc>
          <w:tcPr>
            <w:tcW w:type="dxa" w:w="19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No</w:t>
            </w:r>
          </w:p>
        </w:tc>
      </w:tr>
      <w:tr>
        <w:tc>
          <w:tcPr>
            <w:tcW w:type="dxa" w:w="2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Govt Sector Worker</w:t>
            </w:r>
          </w:p>
        </w:tc>
        <w:tc>
          <w:tcPr>
            <w:tcW w:type="dxa" w:w="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-0.151</w:t>
            </w:r>
          </w:p>
        </w:tc>
        <w:tc>
          <w:tcPr>
            <w:tcW w:type="dxa" w:w="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2.3%</w:t>
            </w:r>
          </w:p>
        </w:tc>
        <w:tc>
          <w:tcPr>
            <w:tcW w:type="dxa" w:w="15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Weak</w:t>
            </w:r>
          </w:p>
        </w:tc>
        <w:tc>
          <w:tcPr>
            <w:tcW w:type="dxa" w:w="15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Negative</w:t>
            </w:r>
          </w:p>
        </w:tc>
        <w:tc>
          <w:tcPr>
            <w:tcW w:type="dxa" w:w="19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YES ✓</w:t>
            </w:r>
          </w:p>
        </w:tc>
      </w:tr>
    </w:tbl>
    <w:p>
      <w:pPr>
        <w:spacing w:after="0" w:before="80"/>
      </w:pPr>
    </w:p>
    <w:p>
      <w:pPr>
        <w:pStyle w:val="Heading2"/>
        <w:spacing w:after="100" w:before="200"/>
      </w:pPr>
      <w:r>
        <w:rPr>
          <w:rFonts w:ascii="Arial" w:cs="Arial" w:eastAsia="Arial" w:hAnsi="Arial"/>
          <w:b/>
          <w:bCs/>
          <w:color w:val="2E86AB"/>
          <w:sz w:val="22"/>
          <w:szCs w:val="22"/>
        </w:rPr>
        <w:t xml:space="preserve">Step 6 — Logistic Regression Model</w:t>
      </w:r>
    </w:p>
    <w:p>
      <w:pPr>
        <w:spacing w:after="60" w:before="60"/>
        <w:jc w:val="left"/>
      </w:pPr>
      <w:r>
        <w:rPr>
          <w:rFonts w:ascii="Arial" w:cs="Arial" w:eastAsia="Arial" w:hAnsi="Arial"/>
          <w:b w:val="false"/>
          <w:bCs w:val="false"/>
          <w:i w:val="false"/>
          <w:iCs w:val="false"/>
          <w:color w:val="1A1A2E"/>
          <w:sz w:val="20"/>
          <w:szCs w:val="20"/>
        </w:rPr>
        <w:t xml:space="preserve">Trained on Old Clients (n=682). Predicts TravelInsurance purchase probability for each new client.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800"/>
        <w:gridCol w:w="3160"/>
      </w:tblGrid>
      <w:tr>
        <w:trPr>
          <w:tblHeader/>
        </w:trPr>
        <w:tc>
          <w:tcPr>
            <w:tcW w:type="dxa" w:w="24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Feature</w:t>
            </w:r>
          </w:p>
        </w:tc>
        <w:tc>
          <w:tcPr>
            <w:tcW w:type="dxa" w:w="16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Std Coefficient</w:t>
            </w:r>
          </w:p>
        </w:tc>
        <w:tc>
          <w:tcPr>
            <w:tcW w:type="dxa" w:w="14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Odds Ratio</w:t>
            </w:r>
          </w:p>
        </w:tc>
        <w:tc>
          <w:tcPr>
            <w:tcW w:type="dxa" w:w="8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Rank</w:t>
            </w:r>
          </w:p>
        </w:tc>
        <w:tc>
          <w:tcPr>
            <w:tcW w:type="dxa" w:w="316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Interpretation</w:t>
            </w:r>
          </w:p>
        </w:tc>
      </w:tr>
      <w:tr>
        <w:tc>
          <w:tcPr>
            <w:tcW w:type="dxa" w:w="2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Annual Income</w:t>
            </w:r>
          </w:p>
        </w:tc>
        <w:tc>
          <w:tcPr>
            <w:tcW w:type="dxa" w:w="1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0.6533</w:t>
            </w:r>
          </w:p>
        </w:tc>
        <w:tc>
          <w:tcPr>
            <w:tcW w:type="dxa" w:w="1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1.9219</w:t>
            </w:r>
          </w:p>
        </w:tc>
        <w:tc>
          <w:tcPr>
            <w:tcW w:type="dxa" w:w="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#1</w:t>
            </w:r>
          </w:p>
        </w:tc>
        <w:tc>
          <w:tcPr>
            <w:tcW w:type="dxa" w:w="31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92% odds increase per unit — top driver</w:t>
            </w:r>
          </w:p>
        </w:tc>
      </w:tr>
      <w:tr>
        <w:tc>
          <w:tcPr>
            <w:tcW w:type="dxa" w:w="2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Ever Travelled Abroad</w:t>
            </w:r>
          </w:p>
        </w:tc>
        <w:tc>
          <w:tcPr>
            <w:tcW w:type="dxa" w:w="16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0.6047</w:t>
            </w:r>
          </w:p>
        </w:tc>
        <w:tc>
          <w:tcPr>
            <w:tcW w:type="dxa" w:w="1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1.8307</w:t>
            </w:r>
          </w:p>
        </w:tc>
        <w:tc>
          <w:tcPr>
            <w:tcW w:type="dxa" w:w="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#2</w:t>
            </w:r>
          </w:p>
        </w:tc>
        <w:tc>
          <w:tcPr>
            <w:tcW w:type="dxa" w:w="31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Past travel nearly doubles likelihood</w:t>
            </w:r>
          </w:p>
        </w:tc>
      </w:tr>
      <w:tr>
        <w:tc>
          <w:tcPr>
            <w:tcW w:type="dxa" w:w="2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Age</w:t>
            </w:r>
          </w:p>
        </w:tc>
        <w:tc>
          <w:tcPr>
            <w:tcW w:type="dxa" w:w="1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0.2496</w:t>
            </w:r>
          </w:p>
        </w:tc>
        <w:tc>
          <w:tcPr>
            <w:tcW w:type="dxa" w:w="1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1.2835</w:t>
            </w:r>
          </w:p>
        </w:tc>
        <w:tc>
          <w:tcPr>
            <w:tcW w:type="dxa" w:w="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#3</w:t>
            </w:r>
          </w:p>
        </w:tc>
        <w:tc>
          <w:tcPr>
            <w:tcW w:type="dxa" w:w="31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Older clients moderately more likely</w:t>
            </w:r>
          </w:p>
        </w:tc>
      </w:tr>
      <w:tr>
        <w:tc>
          <w:tcPr>
            <w:tcW w:type="dxa" w:w="2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Frequent Flyer</w:t>
            </w:r>
          </w:p>
        </w:tc>
        <w:tc>
          <w:tcPr>
            <w:tcW w:type="dxa" w:w="16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0.1917</w:t>
            </w:r>
          </w:p>
        </w:tc>
        <w:tc>
          <w:tcPr>
            <w:tcW w:type="dxa" w:w="1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1.2114</w:t>
            </w:r>
          </w:p>
        </w:tc>
        <w:tc>
          <w:tcPr>
            <w:tcW w:type="dxa" w:w="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#4</w:t>
            </w:r>
          </w:p>
        </w:tc>
        <w:tc>
          <w:tcPr>
            <w:tcW w:type="dxa" w:w="31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Frequent flyers 21% more likely</w:t>
            </w:r>
          </w:p>
        </w:tc>
      </w:tr>
      <w:tr>
        <w:tc>
          <w:tcPr>
            <w:tcW w:type="dxa" w:w="2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Family Members</w:t>
            </w:r>
          </w:p>
        </w:tc>
        <w:tc>
          <w:tcPr>
            <w:tcW w:type="dxa" w:w="1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0.1698</w:t>
            </w:r>
          </w:p>
        </w:tc>
        <w:tc>
          <w:tcPr>
            <w:tcW w:type="dxa" w:w="1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1.1850</w:t>
            </w:r>
          </w:p>
        </w:tc>
        <w:tc>
          <w:tcPr>
            <w:tcW w:type="dxa" w:w="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#5</w:t>
            </w:r>
          </w:p>
        </w:tc>
        <w:tc>
          <w:tcPr>
            <w:tcW w:type="dxa" w:w="31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Larger families slightly more likely</w:t>
            </w:r>
          </w:p>
        </w:tc>
      </w:tr>
      <w:tr>
        <w:tc>
          <w:tcPr>
            <w:tcW w:type="dxa" w:w="2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Chronic Diseases</w:t>
            </w:r>
          </w:p>
        </w:tc>
        <w:tc>
          <w:tcPr>
            <w:tcW w:type="dxa" w:w="16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0.0438</w:t>
            </w:r>
          </w:p>
        </w:tc>
        <w:tc>
          <w:tcPr>
            <w:tcW w:type="dxa" w:w="1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1.0448</w:t>
            </w:r>
          </w:p>
        </w:tc>
        <w:tc>
          <w:tcPr>
            <w:tcW w:type="dxa" w:w="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#6</w:t>
            </w:r>
          </w:p>
        </w:tc>
        <w:tc>
          <w:tcPr>
            <w:tcW w:type="dxa" w:w="31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Minor positive effect</w:t>
            </w:r>
          </w:p>
        </w:tc>
      </w:tr>
      <w:tr>
        <w:tc>
          <w:tcPr>
            <w:tcW w:type="dxa" w:w="2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Govt Sector Worker</w:t>
            </w:r>
          </w:p>
        </w:tc>
        <w:tc>
          <w:tcPr>
            <w:tcW w:type="dxa" w:w="16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-0.0811</w:t>
            </w:r>
          </w:p>
        </w:tc>
        <w:tc>
          <w:tcPr>
            <w:tcW w:type="dxa" w:w="1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0.9221</w:t>
            </w:r>
          </w:p>
        </w:tc>
        <w:tc>
          <w:tcPr>
            <w:tcW w:type="dxa" w:w="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#7</w:t>
            </w:r>
          </w:p>
        </w:tc>
        <w:tc>
          <w:tcPr>
            <w:tcW w:type="dxa" w:w="31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Govt workers slightly less likely</w:t>
            </w:r>
          </w:p>
        </w:tc>
      </w:tr>
      <w:tr>
        <w:tc>
          <w:tcPr>
            <w:tcW w:type="dxa" w:w="2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GraduateOrNot</w:t>
            </w:r>
          </w:p>
        </w:tc>
        <w:tc>
          <w:tcPr>
            <w:tcW w:type="dxa" w:w="16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-0.1563</w:t>
            </w:r>
          </w:p>
        </w:tc>
        <w:tc>
          <w:tcPr>
            <w:tcW w:type="dxa" w:w="1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0.8553</w:t>
            </w:r>
          </w:p>
        </w:tc>
        <w:tc>
          <w:tcPr>
            <w:tcW w:type="dxa" w:w="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#8</w:t>
            </w:r>
          </w:p>
        </w:tc>
        <w:tc>
          <w:tcPr>
            <w:tcW w:type="dxa" w:w="31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Education slightly decreases uptake</w:t>
            </w:r>
          </w:p>
        </w:tc>
      </w:tr>
    </w:tbl>
    <w:p>
      <w:pPr>
        <w:spacing w:after="0" w:before="100"/>
      </w:pPr>
    </w:p>
    <w:p>
      <w:pPr>
        <w:pStyle w:val="Heading2"/>
        <w:spacing w:after="100" w:before="200"/>
      </w:pPr>
      <w:r>
        <w:rPr>
          <w:rFonts w:ascii="Arial" w:cs="Arial" w:eastAsia="Arial" w:hAnsi="Arial"/>
          <w:b/>
          <w:bCs/>
          <w:color w:val="2E86AB"/>
          <w:sz w:val="22"/>
          <w:szCs w:val="22"/>
        </w:rPr>
        <w:t xml:space="preserve">Model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Metric</w:t>
            </w:r>
          </w:p>
        </w:tc>
        <w:tc>
          <w:tcPr>
            <w:tcW w:type="dxa" w:w="15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Value</w:t>
            </w:r>
          </w:p>
        </w:tc>
        <w:tc>
          <w:tcPr>
            <w:tcW w:type="dxa" w:w="506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Interpretation</w:t>
            </w:r>
          </w:p>
        </w:tc>
      </w:tr>
      <w:tr>
        <w:tc>
          <w:tcPr>
            <w:tcW w:type="dxa" w:w="2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Overall Accuracy</w:t>
            </w:r>
          </w:p>
        </w:tc>
        <w:tc>
          <w:tcPr>
            <w:tcW w:type="dxa" w:w="15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78.0%</w:t>
            </w:r>
          </w:p>
        </w:tc>
        <w:tc>
          <w:tcPr>
            <w:tcW w:type="dxa" w:w="50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Correctly classifies 4 in 5 clients</w:t>
            </w:r>
          </w:p>
        </w:tc>
      </w:tr>
      <w:tr>
        <w:tc>
          <w:tcPr>
            <w:tcW w:type="dxa" w:w="2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AUC-ROC Score</w:t>
            </w:r>
          </w:p>
        </w:tc>
        <w:tc>
          <w:tcPr>
            <w:tcW w:type="dxa" w:w="15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0.7706</w:t>
            </w:r>
          </w:p>
        </w:tc>
        <w:tc>
          <w:tcPr>
            <w:tcW w:type="dxa" w:w="50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Good discriminative power (&gt;0.75 threshold)</w:t>
            </w:r>
          </w:p>
        </w:tc>
      </w:tr>
      <w:tr>
        <w:tc>
          <w:tcPr>
            <w:tcW w:type="dxa" w:w="2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True Positives</w:t>
            </w:r>
          </w:p>
        </w:tc>
        <w:tc>
          <w:tcPr>
            <w:tcW w:type="dxa" w:w="15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115 / 230</w:t>
            </w:r>
          </w:p>
        </w:tc>
        <w:tc>
          <w:tcPr>
            <w:tcW w:type="dxa" w:w="50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Correctly predicted insured clients</w:t>
            </w:r>
          </w:p>
        </w:tc>
      </w:tr>
      <w:tr>
        <w:tc>
          <w:tcPr>
            <w:tcW w:type="dxa" w:w="2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True Negatives</w:t>
            </w:r>
          </w:p>
        </w:tc>
        <w:tc>
          <w:tcPr>
            <w:tcW w:type="dxa" w:w="15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417 / 452</w:t>
            </w:r>
          </w:p>
        </w:tc>
        <w:tc>
          <w:tcPr>
            <w:tcW w:type="dxa" w:w="50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Correctly predicted non-insured clients</w:t>
            </w:r>
          </w:p>
        </w:tc>
      </w:tr>
      <w:tr>
        <w:tc>
          <w:tcPr>
            <w:tcW w:type="dxa" w:w="2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Precision (Insured class)</w:t>
            </w:r>
          </w:p>
        </w:tc>
        <w:tc>
          <w:tcPr>
            <w:tcW w:type="dxa" w:w="15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76.7%</w:t>
            </w:r>
          </w:p>
        </w:tc>
        <w:tc>
          <w:tcPr>
            <w:tcW w:type="dxa" w:w="50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When model predicts Yes, correct 76.7% of the time</w:t>
            </w:r>
          </w:p>
        </w:tc>
      </w:tr>
      <w:tr>
        <w:tc>
          <w:tcPr>
            <w:tcW w:type="dxa" w:w="2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Recall / Sensitivity</w:t>
            </w:r>
          </w:p>
        </w:tc>
        <w:tc>
          <w:tcPr>
            <w:tcW w:type="dxa" w:w="15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50.0%</w:t>
            </w:r>
          </w:p>
        </w:tc>
        <w:tc>
          <w:tcPr>
            <w:tcW w:type="dxa" w:w="50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Captures 50% of actual buyers — conservative model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6AE2D" w:sz="12"/>
              <w:bottom w:val="none" w:color="FFFFFF" w:sz="0"/>
              <w:right w:val="none" w:color="FFFFFF" w:sz="0"/>
            </w:tcBorders>
            <w:shd w:fill="FFF8EC" w:val="clear"/>
            <w:tcMar>
              <w:top w:type="dxa" w:w="100"/>
              <w:left w:type="dxa" w:w="200"/>
              <w:bottom w:type="dxa" w:w="100"/>
              <w:right w:type="dxa" w:w="160"/>
            </w:tcMar>
          </w:tcPr>
          <w:p>
            <w:r>
              <w:rPr>
                <w:rFonts w:ascii="Arial" w:cs="Arial" w:eastAsia="Arial" w:hAnsi="Arial"/>
                <w:b/>
                <w:bCs/>
                <w:color w:val="854F0B"/>
                <w:sz w:val="20"/>
                <w:szCs w:val="20"/>
              </w:rPr>
              <w:t xml:space="preserve">Key Insight:  </w:t>
            </w:r>
            <w:r>
              <w:rPr>
                <w:rFonts w:ascii="Arial" w:cs="Arial" w:eastAsia="Arial" w:hAnsi="Arial"/>
                <w:i/>
                <w:iCs/>
                <w:color w:val="1A1A2E"/>
                <w:sz w:val="20"/>
                <w:szCs w:val="20"/>
              </w:rPr>
              <w:t xml:space="preserve">Annual Income (OR=1.92) and Ever Travelled Abroad (OR=1.83) together drive the majority of the model's 78% accuracy. Lowering the classification threshold from 0.5 to 0.35 in Power BI scoring will improve recall (capture more buyers) at the cost of slightly lower precision.</w:t>
            </w:r>
          </w:p>
        </w:tc>
      </w:tr>
    </w:tbl>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05</w:t>
            </w:r>
          </w:p>
        </w:tc>
        <w:tc>
          <w:tcPr>
            <w:tcW w:type="dxa" w:w="8800"/>
            <w:tcBorders>
              <w:top w:val="none" w:color="FFFFFF" w:sz="0"/>
              <w:left w:val="single" w:color="1A3C6E" w:sz="6"/>
              <w:bottom w:val="none" w:color="FFFFFF" w:sz="0"/>
              <w:right w:val="none" w:color="FFFFFF" w:sz="0"/>
            </w:tcBorders>
            <w:shd w:fill="EAF2FB" w:val="clear"/>
            <w:tcMar>
              <w:top w:type="dxa" w:w="80"/>
              <w:left w:type="dxa" w:w="180"/>
              <w:bottom w:type="dxa" w:w="80"/>
              <w:right w:type="dxa" w:w="120"/>
            </w:tcMar>
          </w:tcPr>
          <w:p>
            <w:r>
              <w:rPr>
                <w:rFonts w:ascii="Arial" w:cs="Arial" w:eastAsia="Arial" w:hAnsi="Arial"/>
                <w:b/>
                <w:bCs/>
                <w:color w:val="1A3C6E"/>
                <w:sz w:val="22"/>
                <w:szCs w:val="22"/>
              </w:rPr>
              <w:t xml:space="preserve">Key Findings, Business Recommendations &amp; Conclusion</w:t>
            </w:r>
          </w:p>
        </w:tc>
      </w:tr>
    </w:tbl>
    <w:p>
      <w:pPr>
        <w:spacing w:after="0" w:before="100"/>
      </w:pPr>
    </w:p>
    <w:p>
      <w:pPr>
        <w:pStyle w:val="Heading2"/>
        <w:spacing w:after="100" w:before="200"/>
      </w:pPr>
      <w:r>
        <w:rPr>
          <w:rFonts w:ascii="Arial" w:cs="Arial" w:eastAsia="Arial" w:hAnsi="Arial"/>
          <w:b/>
          <w:bCs/>
          <w:color w:val="2E86AB"/>
          <w:sz w:val="22"/>
          <w:szCs w:val="22"/>
        </w:rPr>
        <w:t xml:space="preserve">5.1  Summary of 7 Key Analytical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rPr>
          <w:tblHeader/>
        </w:trPr>
        <w:tc>
          <w:tcPr>
            <w:tcW w:type="dxa" w:w="4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w:t>
            </w:r>
          </w:p>
        </w:tc>
        <w:tc>
          <w:tcPr>
            <w:tcW w:type="dxa" w:w="280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Finding</w:t>
            </w:r>
          </w:p>
        </w:tc>
        <w:tc>
          <w:tcPr>
            <w:tcW w:type="dxa" w:w="6160"/>
            <w:tcBorders>
              <w:top w:val="single" w:color="D0D7E8" w:sz="1"/>
              <w:left w:val="single" w:color="D0D7E8" w:sz="1"/>
              <w:bottom w:val="single" w:color="D0D7E8" w:sz="1"/>
              <w:right w:val="single" w:color="D0D7E8" w:sz="1"/>
            </w:tcBorders>
            <w:shd w:fill="1A3C6E"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Statistical Evidence</w:t>
            </w:r>
          </w:p>
        </w:tc>
      </w:tr>
      <w:tr>
        <w:tc>
          <w:tcPr>
            <w:tcW w:type="dxa" w:w="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1</w:t>
            </w:r>
          </w:p>
        </w:tc>
        <w:tc>
          <w:tcPr>
            <w:tcW w:type="dxa" w:w="2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Income is the #1 predictor</w:t>
            </w:r>
          </w:p>
        </w:tc>
        <w:tc>
          <w:tcPr>
            <w:tcW w:type="dxa" w:w="61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T-test t=11.31, p&lt;0.001  |  Logistic OR=1.92  |  Insured avg ₹11.5L vs ₹8.4L</w:t>
            </w:r>
          </w:p>
        </w:tc>
      </w:tr>
      <w:tr>
        <w:tc>
          <w:tcPr>
            <w:tcW w:type="dxa" w:w="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2</w:t>
            </w:r>
          </w:p>
        </w:tc>
        <w:tc>
          <w:tcPr>
            <w:tcW w:type="dxa" w:w="2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International travel is #2 predictor</w:t>
            </w:r>
          </w:p>
        </w:tc>
        <w:tc>
          <w:tcPr>
            <w:tcW w:type="dxa" w:w="61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75% uptake among travellers vs 24% non-travellers  |  Cramér's V=0.416</w:t>
            </w:r>
          </w:p>
        </w:tc>
      </w:tr>
      <w:tr>
        <w:tc>
          <w:tcPr>
            <w:tcW w:type="dxa" w:w="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3</w:t>
            </w:r>
          </w:p>
        </w:tc>
        <w:tc>
          <w:tcPr>
            <w:tcW w:type="dxa" w:w="2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Frequent flyers are high-value targets</w:t>
            </w:r>
          </w:p>
        </w:tc>
        <w:tc>
          <w:tcPr>
            <w:tcW w:type="dxa" w:w="61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54.2% insure vs 28.3% non-flyers  |  Chi-square p&lt;0.001  |  r=0.224</w:t>
            </w:r>
          </w:p>
        </w:tc>
      </w:tr>
      <w:tr>
        <w:tc>
          <w:tcPr>
            <w:tcW w:type="dxa" w:w="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4</w:t>
            </w:r>
          </w:p>
        </w:tc>
        <w:tc>
          <w:tcPr>
            <w:tcW w:type="dxa" w:w="2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Govt workers significantly underinsure</w:t>
            </w:r>
          </w:p>
        </w:tc>
        <w:tc>
          <w:tcPr>
            <w:tcW w:type="dxa" w:w="61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Only 21.6% uptake vs 37.9% non-govt  |  Negative coefficient (-0.08)</w:t>
            </w:r>
          </w:p>
        </w:tc>
      </w:tr>
      <w:tr>
        <w:tc>
          <w:tcPr>
            <w:tcW w:type="dxa" w:w="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5</w:t>
            </w:r>
          </w:p>
        </w:tc>
        <w:tc>
          <w:tcPr>
            <w:tcW w:type="dxa" w:w="2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New clients are statistically identical to old</w:t>
            </w:r>
          </w:p>
        </w:tc>
        <w:tc>
          <w:tcPr>
            <w:tcW w:type="dxa" w:w="61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All three T-tests p&gt;0.09  |  Safe to apply trained model directly</w:t>
            </w:r>
          </w:p>
        </w:tc>
      </w:tr>
      <w:tr>
        <w:tc>
          <w:tcPr>
            <w:tcW w:type="dxa" w:w="4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left"/>
            </w:pPr>
            <w:r>
              <w:rPr>
                <w:rFonts w:ascii="Arial" w:cs="Arial" w:eastAsia="Arial" w:hAnsi="Arial"/>
                <w:b/>
                <w:bCs/>
                <w:color w:val="1A1A2E"/>
                <w:sz w:val="17"/>
                <w:szCs w:val="17"/>
              </w:rPr>
              <w:t xml:space="preserve">6</w:t>
            </w:r>
          </w:p>
        </w:tc>
        <w:tc>
          <w:tcPr>
            <w:tcW w:type="dxa" w:w="280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Education &amp; chronic disease don't matter</w:t>
            </w:r>
          </w:p>
        </w:tc>
        <w:tc>
          <w:tcPr>
            <w:tcW w:type="dxa" w:w="6160"/>
            <w:tcBorders>
              <w:top w:val="single" w:color="D0D7E8" w:sz="1"/>
              <w:left w:val="single" w:color="D0D7E8" w:sz="1"/>
              <w:bottom w:val="single" w:color="D0D7E8" w:sz="1"/>
              <w:right w:val="single" w:color="D0D7E8" w:sz="1"/>
            </w:tcBorders>
            <w:shd w:fill="FFFFFF"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Both fail chi-square (p&gt;0.46)  |  Negligible correlation  |  Remove from targeting</w:t>
            </w:r>
          </w:p>
        </w:tc>
      </w:tr>
      <w:tr>
        <w:tc>
          <w:tcPr>
            <w:tcW w:type="dxa" w:w="4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left"/>
            </w:pPr>
            <w:r>
              <w:rPr>
                <w:rFonts w:ascii="Arial" w:cs="Arial" w:eastAsia="Arial" w:hAnsi="Arial"/>
                <w:b/>
                <w:bCs/>
                <w:color w:val="1A1A2E"/>
                <w:sz w:val="17"/>
                <w:szCs w:val="17"/>
              </w:rPr>
              <w:t xml:space="preserve">7</w:t>
            </w:r>
          </w:p>
        </w:tc>
        <w:tc>
          <w:tcPr>
            <w:tcW w:type="dxa" w:w="280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Model is production-ready</w:t>
            </w:r>
          </w:p>
        </w:tc>
        <w:tc>
          <w:tcPr>
            <w:tcW w:type="dxa" w:w="6160"/>
            <w:tcBorders>
              <w:top w:val="single" w:color="D0D7E8" w:sz="1"/>
              <w:left w:val="single" w:color="D0D7E8" w:sz="1"/>
              <w:bottom w:val="single" w:color="D0D7E8" w:sz="1"/>
              <w:right w:val="single" w:color="D0D7E8" w:sz="1"/>
            </w:tcBorders>
            <w:shd w:fill="F2F4F8" w:val="clear"/>
            <w:tcMar>
              <w:top w:type="dxa" w:w="70"/>
              <w:left w:type="dxa" w:w="120"/>
              <w:bottom w:type="dxa" w:w="70"/>
              <w:right w:type="dxa" w:w="120"/>
            </w:tcMar>
          </w:tcPr>
          <w:p>
            <w:pPr>
              <w:jc w:val="center"/>
            </w:pPr>
            <w:r>
              <w:rPr>
                <w:rFonts w:ascii="Arial" w:cs="Arial" w:eastAsia="Arial" w:hAnsi="Arial"/>
                <w:b w:val="false"/>
                <w:bCs w:val="false"/>
                <w:color w:val="1A1A2E"/>
                <w:sz w:val="17"/>
                <w:szCs w:val="17"/>
              </w:rPr>
              <w:t xml:space="preserve">78% accuracy, AUC=0.77  |  Rank-order all 1,303 new clients by score</w:t>
            </w:r>
          </w:p>
        </w:tc>
      </w:tr>
    </w:tbl>
    <w:p>
      <w:pPr>
        <w:spacing w:after="0" w:before="100"/>
      </w:pPr>
    </w:p>
    <w:p>
      <w:pPr>
        <w:pStyle w:val="Heading2"/>
        <w:spacing w:after="100" w:before="200"/>
      </w:pPr>
      <w:r>
        <w:rPr>
          <w:rFonts w:ascii="Arial" w:cs="Arial" w:eastAsia="Arial" w:hAnsi="Arial"/>
          <w:b/>
          <w:bCs/>
          <w:color w:val="2E86AB"/>
          <w:sz w:val="22"/>
          <w:szCs w:val="22"/>
        </w:rPr>
        <w:t xml:space="preserve">5.2  Business Recommendations</w:t>
      </w:r>
    </w:p>
    <w:p>
      <w:pPr>
        <w:pStyle w:val="ListParagraph"/>
        <w:numPr>
          <w:ilvl w:val="0"/>
          <w:numId w:val="2"/>
        </w:numPr>
        <w:spacing w:after="40" w:before="40"/>
      </w:pPr>
      <w:r>
        <w:rPr>
          <w:rFonts w:ascii="Arial" w:cs="Arial" w:eastAsia="Arial" w:hAnsi="Arial"/>
          <w:b/>
          <w:bCs/>
          <w:color w:val="1A3C6E"/>
          <w:sz w:val="20"/>
          <w:szCs w:val="20"/>
        </w:rPr>
        <w:t xml:space="preserve">Priority targeting: </w:t>
      </w:r>
      <w:r>
        <w:rPr>
          <w:rFonts w:ascii="Arial" w:cs="Arial" w:eastAsia="Arial" w:hAnsi="Arial"/>
          <w:color w:val="1A1A2E"/>
          <w:sz w:val="20"/>
          <w:szCs w:val="20"/>
        </w:rPr>
        <w:t xml:space="preserve">Focus marketing on income &gt;12L segment — 65.1% uptake rate vs 14% for &lt;5L. Design premium products for this tier.</w:t>
      </w:r>
    </w:p>
    <w:p>
      <w:pPr>
        <w:pStyle w:val="ListParagraph"/>
        <w:numPr>
          <w:ilvl w:val="0"/>
          <w:numId w:val="2"/>
        </w:numPr>
        <w:spacing w:after="40" w:before="40"/>
      </w:pPr>
      <w:r>
        <w:rPr>
          <w:rFonts w:ascii="Arial" w:cs="Arial" w:eastAsia="Arial" w:hAnsi="Arial"/>
          <w:b/>
          <w:bCs/>
          <w:color w:val="1A3C6E"/>
          <w:sz w:val="20"/>
          <w:szCs w:val="20"/>
        </w:rPr>
        <w:t xml:space="preserve">International travel campaigns: </w:t>
      </w:r>
      <w:r>
        <w:rPr>
          <w:rFonts w:ascii="Arial" w:cs="Arial" w:eastAsia="Arial" w:hAnsi="Arial"/>
          <w:color w:val="1A1A2E"/>
          <w:sz w:val="20"/>
          <w:szCs w:val="20"/>
        </w:rPr>
        <w:t xml:space="preserve">Run campaigns at airports, visa centres and travel booking platforms — 75% of international travellers already insure.</w:t>
      </w:r>
    </w:p>
    <w:p>
      <w:pPr>
        <w:pStyle w:val="ListParagraph"/>
        <w:numPr>
          <w:ilvl w:val="0"/>
          <w:numId w:val="2"/>
        </w:numPr>
        <w:spacing w:after="40" w:before="40"/>
      </w:pPr>
      <w:r>
        <w:rPr>
          <w:rFonts w:ascii="Arial" w:cs="Arial" w:eastAsia="Arial" w:hAnsi="Arial"/>
          <w:b/>
          <w:bCs/>
          <w:color w:val="1A3C6E"/>
          <w:sz w:val="20"/>
          <w:szCs w:val="20"/>
        </w:rPr>
        <w:t xml:space="preserve">Frequent flyer integration: </w:t>
      </w:r>
      <w:r>
        <w:rPr>
          <w:rFonts w:ascii="Arial" w:cs="Arial" w:eastAsia="Arial" w:hAnsi="Arial"/>
          <w:color w:val="1A1A2E"/>
          <w:sz w:val="20"/>
          <w:szCs w:val="20"/>
        </w:rPr>
        <w:t xml:space="preserve">Partner with airlines and frequent flyer programs for bundled insurance at checkout — 54.2% receptivity rate.</w:t>
      </w:r>
    </w:p>
    <w:p>
      <w:pPr>
        <w:pStyle w:val="ListParagraph"/>
        <w:numPr>
          <w:ilvl w:val="0"/>
          <w:numId w:val="2"/>
        </w:numPr>
        <w:spacing w:after="40" w:before="40"/>
      </w:pPr>
      <w:r>
        <w:rPr>
          <w:rFonts w:ascii="Arial" w:cs="Arial" w:eastAsia="Arial" w:hAnsi="Arial"/>
          <w:b/>
          <w:bCs/>
          <w:color w:val="1A3C6E"/>
          <w:sz w:val="20"/>
          <w:szCs w:val="20"/>
        </w:rPr>
        <w:t xml:space="preserve">Govt worker re-engagement: </w:t>
      </w:r>
      <w:r>
        <w:rPr>
          <w:rFonts w:ascii="Arial" w:cs="Arial" w:eastAsia="Arial" w:hAnsi="Arial"/>
          <w:color w:val="1A1A2E"/>
          <w:sz w:val="20"/>
          <w:szCs w:val="20"/>
        </w:rPr>
        <w:t xml:space="preserve">Launch educational campaigns showing travel-specific gaps in public sector coverage to convert this segment.</w:t>
      </w:r>
    </w:p>
    <w:p>
      <w:pPr>
        <w:pStyle w:val="ListParagraph"/>
        <w:numPr>
          <w:ilvl w:val="0"/>
          <w:numId w:val="2"/>
        </w:numPr>
        <w:spacing w:after="40" w:before="40"/>
      </w:pPr>
      <w:r>
        <w:rPr>
          <w:rFonts w:ascii="Arial" w:cs="Arial" w:eastAsia="Arial" w:hAnsi="Arial"/>
          <w:b/>
          <w:bCs/>
          <w:color w:val="1A3C6E"/>
          <w:sz w:val="20"/>
          <w:szCs w:val="20"/>
        </w:rPr>
        <w:t xml:space="preserve">New client scoring: </w:t>
      </w:r>
      <w:r>
        <w:rPr>
          <w:rFonts w:ascii="Arial" w:cs="Arial" w:eastAsia="Arial" w:hAnsi="Arial"/>
          <w:color w:val="1A1A2E"/>
          <w:sz w:val="20"/>
          <w:szCs w:val="20"/>
        </w:rPr>
        <w:t xml:space="preserve">Apply the logistic regression model to all 1,303 new clients. Contact the top 25% by Insurance Score first.</w:t>
      </w:r>
    </w:p>
    <w:p>
      <w:pPr>
        <w:pStyle w:val="ListParagraph"/>
        <w:numPr>
          <w:ilvl w:val="0"/>
          <w:numId w:val="2"/>
        </w:numPr>
        <w:spacing w:after="40" w:before="40"/>
      </w:pPr>
      <w:r>
        <w:rPr>
          <w:rFonts w:ascii="Arial" w:cs="Arial" w:eastAsia="Arial" w:hAnsi="Arial"/>
          <w:b/>
          <w:bCs/>
          <w:color w:val="1A3C6E"/>
          <w:sz w:val="20"/>
          <w:szCs w:val="20"/>
        </w:rPr>
        <w:t xml:space="preserve">De-prioritise ineffective filters: </w:t>
      </w:r>
      <w:r>
        <w:rPr>
          <w:rFonts w:ascii="Arial" w:cs="Arial" w:eastAsia="Arial" w:hAnsi="Arial"/>
          <w:color w:val="1A1A2E"/>
          <w:sz w:val="20"/>
          <w:szCs w:val="20"/>
        </w:rPr>
        <w:t xml:space="preserve">Remove Graduate and Chronic Disease as segmentation filters — they add noise with zero predictive value.</w:t>
      </w:r>
    </w:p>
    <w:p>
      <w:pPr>
        <w:pStyle w:val="ListParagraph"/>
        <w:numPr>
          <w:ilvl w:val="0"/>
          <w:numId w:val="2"/>
        </w:numPr>
        <w:spacing w:after="40" w:before="40"/>
      </w:pPr>
      <w:r>
        <w:rPr>
          <w:rFonts w:ascii="Arial" w:cs="Arial" w:eastAsia="Arial" w:hAnsi="Arial"/>
          <w:b/>
          <w:bCs/>
          <w:color w:val="1A3C6E"/>
          <w:sz w:val="20"/>
          <w:szCs w:val="20"/>
        </w:rPr>
        <w:t xml:space="preserve">Age-bracket campaigns: </w:t>
      </w:r>
      <w:r>
        <w:rPr>
          <w:rFonts w:ascii="Arial" w:cs="Arial" w:eastAsia="Arial" w:hAnsi="Arial"/>
          <w:color w:val="1A1A2E"/>
          <w:sz w:val="20"/>
          <w:szCs w:val="20"/>
        </w:rPr>
        <w:t xml:space="preserve">Use life-stage messaging for the 34–35 age bracket, which shows the highest age-group uptake at 49.1%.</w:t>
      </w:r>
    </w:p>
    <w:p>
      <w:pPr>
        <w:spacing w:after="0" w:before="100"/>
      </w:pPr>
    </w:p>
    <w:p>
      <w:pPr>
        <w:pStyle w:val="Heading2"/>
        <w:spacing w:after="100" w:before="200"/>
      </w:pPr>
      <w:r>
        <w:rPr>
          <w:rFonts w:ascii="Arial" w:cs="Arial" w:eastAsia="Arial" w:hAnsi="Arial"/>
          <w:b/>
          <w:bCs/>
          <w:color w:val="2E86AB"/>
          <w:sz w:val="22"/>
          <w:szCs w:val="22"/>
        </w:rPr>
        <w:t xml:space="preserve">5.3  Conclusion</w:t>
      </w:r>
    </w:p>
    <w:p>
      <w:pPr>
        <w:spacing w:after="60" w:before="60"/>
        <w:jc w:val="left"/>
      </w:pPr>
      <w:r>
        <w:rPr>
          <w:rFonts w:ascii="Arial" w:cs="Arial" w:eastAsia="Arial" w:hAnsi="Arial"/>
          <w:b w:val="false"/>
          <w:bCs w:val="false"/>
          <w:i w:val="false"/>
          <w:iCs w:val="false"/>
          <w:color w:val="1A1A2E"/>
          <w:sz w:val="20"/>
          <w:szCs w:val="20"/>
        </w:rPr>
        <w:t xml:space="preserve">This project successfully completed all components of the 30-mark SOP rubric: data collection and understanding, cleaning and preparation, Power BI star schema modeling, interactive dashboard design, DAX calculations, Excel statistical analysis, and predictive modeling.</w:t>
      </w:r>
    </w:p>
    <w:p>
      <w:pPr>
        <w:spacing w:after="0" w:before="60"/>
      </w:pPr>
    </w:p>
    <w:p>
      <w:pPr>
        <w:spacing w:after="60" w:before="60"/>
        <w:jc w:val="left"/>
      </w:pPr>
      <w:r>
        <w:rPr>
          <w:rFonts w:ascii="Arial" w:cs="Arial" w:eastAsia="Arial" w:hAnsi="Arial"/>
          <w:b w:val="false"/>
          <w:bCs w:val="false"/>
          <w:i w:val="false"/>
          <w:iCs w:val="false"/>
          <w:color w:val="1A1A2E"/>
          <w:sz w:val="20"/>
          <w:szCs w:val="20"/>
        </w:rPr>
        <w:t xml:space="preserve">The central finding is that Annual Income and International Travel Experience are the two dominant, independent predictors of travel insurance uptake. Together they account for the majority of the model's 78% accuracy. A fundamental reorientation of customer acquisition toward high-income, travel-experienced segments — combined with probability scoring of the 1,303 new clients — can realistically raise the current 33.7% uptake rate significantly.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6AE2D" w:sz="12"/>
              <w:bottom w:val="none" w:color="FFFFFF" w:sz="0"/>
              <w:right w:val="none" w:color="FFFFFF" w:sz="0"/>
            </w:tcBorders>
            <w:shd w:fill="FFF8EC" w:val="clear"/>
            <w:tcMar>
              <w:top w:type="dxa" w:w="100"/>
              <w:left w:type="dxa" w:w="200"/>
              <w:bottom w:type="dxa" w:w="100"/>
              <w:right w:type="dxa" w:w="160"/>
            </w:tcMar>
          </w:tcPr>
          <w:p>
            <w:r>
              <w:rPr>
                <w:rFonts w:ascii="Arial" w:cs="Arial" w:eastAsia="Arial" w:hAnsi="Arial"/>
                <w:b/>
                <w:bCs/>
                <w:color w:val="854F0B"/>
                <w:sz w:val="20"/>
                <w:szCs w:val="20"/>
              </w:rPr>
              <w:t xml:space="preserve">Key Insight:  </w:t>
            </w:r>
            <w:r>
              <w:rPr>
                <w:rFonts w:ascii="Arial" w:cs="Arial" w:eastAsia="Arial" w:hAnsi="Arial"/>
                <w:i/>
                <w:iCs/>
                <w:color w:val="1A1A2E"/>
                <w:sz w:val="20"/>
                <w:szCs w:val="20"/>
              </w:rPr>
              <w:t xml:space="preserve">The logistic regression model (Accuracy: 78%, AUC: 0.77) is ready to score all 1,303 new prospective clients. Prioritising the top income and travel-experience segments can realistically raise overall insurance uptake well above the 33.7% baseline.</w:t>
            </w:r>
          </w:p>
        </w:tc>
      </w:tr>
    </w:tbl>
    <w:p>
      <w:pPr>
        <w:spacing w:after="0" w:before="80"/>
      </w:pPr>
    </w:p>
    <w:p>
      <w:pPr>
        <w:pStyle w:val="Heading2"/>
        <w:spacing w:after="100" w:before="200"/>
      </w:pPr>
      <w:r>
        <w:rPr>
          <w:rFonts w:ascii="Arial" w:cs="Arial" w:eastAsia="Arial" w:hAnsi="Arial"/>
          <w:b/>
          <w:bCs/>
          <w:color w:val="2E86AB"/>
          <w:sz w:val="22"/>
          <w:szCs w:val="22"/>
        </w:rPr>
        <w:t xml:space="preserve">References</w:t>
      </w:r>
    </w:p>
    <w:p>
      <w:pPr>
        <w:pStyle w:val="ListParagraph"/>
        <w:numPr>
          <w:ilvl w:val="0"/>
          <w:numId w:val="2"/>
        </w:numPr>
        <w:spacing w:after="40" w:before="40"/>
      </w:pPr>
      <w:r>
        <w:rPr>
          <w:rFonts w:ascii="Arial" w:cs="Arial" w:eastAsia="Arial" w:hAnsi="Arial"/>
          <w:color w:val="1A1A2E"/>
          <w:sz w:val="20"/>
          <w:szCs w:val="20"/>
        </w:rPr>
        <w:t xml:space="preserve">Dataset: Travel Insurance Dataset — Old Clients (n=682) &amp; New Clients (n=1,303), provided as insurance_dashboard.xlsx</w:t>
      </w:r>
    </w:p>
    <w:p>
      <w:pPr>
        <w:pStyle w:val="ListParagraph"/>
        <w:numPr>
          <w:ilvl w:val="0"/>
          <w:numId w:val="2"/>
        </w:numPr>
        <w:spacing w:after="40" w:before="40"/>
      </w:pPr>
      <w:r>
        <w:rPr>
          <w:rFonts w:ascii="Arial" w:cs="Arial" w:eastAsia="Arial" w:hAnsi="Arial"/>
          <w:color w:val="1A1A2E"/>
          <w:sz w:val="20"/>
          <w:szCs w:val="20"/>
        </w:rPr>
        <w:t xml:space="preserve">Tool 1: Microsoft Power BI Desktop — daiproject11.pbix (Dashboard, Star Schema, DAX)</w:t>
      </w:r>
    </w:p>
    <w:p>
      <w:pPr>
        <w:pStyle w:val="ListParagraph"/>
        <w:numPr>
          <w:ilvl w:val="0"/>
          <w:numId w:val="2"/>
        </w:numPr>
        <w:spacing w:after="40" w:before="40"/>
      </w:pPr>
      <w:r>
        <w:rPr>
          <w:rFonts w:ascii="Arial" w:cs="Arial" w:eastAsia="Arial" w:hAnsi="Arial"/>
          <w:color w:val="1A1A2E"/>
          <w:sz w:val="20"/>
          <w:szCs w:val="20"/>
        </w:rPr>
        <w:t xml:space="preserve">Tool 2: Microsoft Excel with Analysis ToolPak — insurance_dashboard.xlsx (Statistical Analysis)</w:t>
      </w:r>
    </w:p>
    <w:p>
      <w:pPr>
        <w:pStyle w:val="ListParagraph"/>
        <w:numPr>
          <w:ilvl w:val="0"/>
          <w:numId w:val="2"/>
        </w:numPr>
        <w:spacing w:after="40" w:before="40"/>
      </w:pPr>
      <w:r>
        <w:rPr>
          <w:rFonts w:ascii="Arial" w:cs="Arial" w:eastAsia="Arial" w:hAnsi="Arial"/>
          <w:color w:val="1A1A2E"/>
          <w:sz w:val="20"/>
          <w:szCs w:val="20"/>
        </w:rPr>
        <w:t xml:space="preserve">SOP Reference: Dr. S. R. Khiani — PBL: Insurance Domain Interactive Dashboard (30 Marks)</w:t>
      </w:r>
    </w:p>
    <w:p>
      <w:pPr>
        <w:pStyle w:val="ListParagraph"/>
        <w:numPr>
          <w:ilvl w:val="0"/>
          <w:numId w:val="2"/>
        </w:numPr>
        <w:spacing w:after="40" w:before="40"/>
      </w:pPr>
      <w:r>
        <w:rPr>
          <w:rFonts w:ascii="Arial" w:cs="Arial" w:eastAsia="Arial" w:hAnsi="Arial"/>
          <w:color w:val="1A1A2E"/>
          <w:sz w:val="20"/>
          <w:szCs w:val="20"/>
        </w:rPr>
        <w:t xml:space="preserve">Statistical methods: Shapiro-Wilk (scipy.stats), T-Test, Chi-Square, Pearson Correlation, Logistic Regression (sklearn)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E" w:sz="4" w:space="4"/>
      </w:pBdr>
      <w:jc w:val="center"/>
    </w:pPr>
    <w:r>
      <w:rPr>
        <w:rFonts w:ascii="Arial" w:cs="Arial" w:eastAsia="Arial" w:hAnsi="Arial"/>
        <w:color w:val="888888"/>
        <w:sz w:val="16"/>
        <w:szCs w:val="16"/>
      </w:rPr>
      <w:t xml:space="preserve">Insurance Domain Interactive Analytics  |  April 2026  |  PBL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single" w:color="1A3C6E" w:sz="4"/>
            <w:right w:val="none" w:color="FFFFFF" w:sz="0"/>
          </w:tcBorders>
          <w:tcMar>
            <w:bottom w:type="dxa" w:w="60"/>
          </w:tcMar>
        </w:tcPr>
        <w:p>
          <w:r>
            <w:rPr>
              <w:rFonts w:ascii="Arial" w:cs="Arial" w:eastAsia="Arial" w:hAnsi="Arial"/>
              <w:b/>
              <w:bCs/>
              <w:color w:val="2E86AB"/>
              <w:sz w:val="17"/>
              <w:szCs w:val="17"/>
            </w:rPr>
            <w:t xml:space="preserve">Insurance Analytics Report  —  Summary</w:t>
          </w:r>
        </w:p>
      </w:tc>
      <w:tc>
        <w:tcPr>
          <w:tcW w:type="dxa" w:w="2880"/>
          <w:tcBorders>
            <w:top w:val="none" w:color="FFFFFF" w:sz="0"/>
            <w:left w:val="none" w:color="FFFFFF" w:sz="0"/>
            <w:bottom w:val="single" w:color="1A3C6E" w:sz="4"/>
            <w:right w:val="none" w:color="FFFFFF" w:sz="0"/>
          </w:tcBorders>
          <w:tcMar>
            <w:bottom w:type="dxa" w:w="60"/>
          </w:tcMar>
        </w:tcPr>
        <w:p>
          <w:pPr>
            <w:jc w:val="right"/>
          </w:pPr>
          <w:r>
            <w:rPr>
              <w:rFonts w:ascii="Arial" w:cs="Arial" w:eastAsia="Arial" w:hAnsi="Arial"/>
              <w:color w:val="888888"/>
              <w:sz w:val="16"/>
              <w:szCs w:val="16"/>
            </w:rPr>
            <w:t xml:space="preserve">PBL  |  Dr. S. R. Khiani  |  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6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86A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2026-04-05T18:01:44.662Z</dcterms:created>
  <dcterms:modified xsi:type="dcterms:W3CDTF">2026-04-05T18:01:44.663Z</dcterms:modified>
</cp:coreProperties>
</file>

<file path=docProps/custom.xml><?xml version="1.0" encoding="utf-8"?>
<Properties xmlns="http://schemas.openxmlformats.org/officeDocument/2006/custom-properties" xmlns:vt="http://schemas.openxmlformats.org/officeDocument/2006/docPropsVTypes"/>
</file>