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C974FE">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C974FE">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C974FE"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C974FE"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C974FE"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C974FE"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C974FE"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C974FE"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C974FE"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C974FE"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C974FE"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C974FE"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w:t>
            </w:r>
            <w:proofErr w:type="spellStart"/>
            <w:r>
              <w:t>Lite</w:t>
            </w:r>
            <w:proofErr w:type="spellEnd"/>
            <w:r>
              <w:t>”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C974FE"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C974FE"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C974FE"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C974FE"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C974FE"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C974FE"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C974FE"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C974FE"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C974FE"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C974FE"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C974FE"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4"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C974FE" w:rsidP="00C974FE">
            <w:hyperlink r:id="rId75"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C974FE" w:rsidP="00C974FE">
            <w:hyperlink r:id="rId76"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7"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9"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C974FE" w:rsidP="00C974FE">
            <w:hyperlink r:id="rId80"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C974FE" w:rsidP="00C974FE">
            <w:hyperlink r:id="rId81"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2"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C974FE" w:rsidP="00C974FE">
            <w:hyperlink r:id="rId85"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C974FE" w:rsidP="00C974FE">
            <w:hyperlink r:id="rId86"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7"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9"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C974FE" w:rsidP="00C974FE">
            <w:hyperlink r:id="rId90"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C974FE" w:rsidP="00C974FE">
            <w:hyperlink r:id="rId91"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2"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4"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C974FE" w:rsidP="00C974FE">
            <w:hyperlink r:id="rId95"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C974FE" w:rsidP="00C974FE">
            <w:hyperlink r:id="rId96"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7"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w:t>
            </w:r>
            <w:bookmarkStart w:id="0" w:name="_GoBack"/>
            <w:bookmarkEnd w:id="0"/>
            <w:r>
              <w:rPr>
                <w:sz w:val="40"/>
              </w:rPr>
              <w:t>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C974FE" w:rsidP="00C974FE">
            <w:hyperlink r:id="rId99" w:history="1">
              <w:r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C974FE" w:rsidP="00C974FE">
            <w:hyperlink r:id="rId100" w:history="1">
              <w:r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1"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sectPr w:rsidR="00C974F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341" w:rsidRDefault="00704341" w:rsidP="0054426A">
      <w:r>
        <w:separator/>
      </w:r>
    </w:p>
  </w:endnote>
  <w:endnote w:type="continuationSeparator" w:id="0">
    <w:p w:rsidR="00704341" w:rsidRDefault="00704341"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341" w:rsidRDefault="00704341" w:rsidP="0054426A">
      <w:r>
        <w:separator/>
      </w:r>
    </w:p>
  </w:footnote>
  <w:footnote w:type="continuationSeparator" w:id="0">
    <w:p w:rsidR="00704341" w:rsidRDefault="00704341"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B653B"/>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63C"/>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dalelane/ml-for-kids/raw/master/doc/machinelearningforkids-apikeys.pdf" TargetMode="External"/><Relationship Id="rId89" Type="http://schemas.openxmlformats.org/officeDocument/2006/relationships/hyperlink" Target="https://github.com/dalelane/ml-for-kids/raw/master/doc/machinelearningforkids-apikeys.pdf" TargetMode="External"/><Relationship Id="rId16"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dalelane/ml-for-kids/raw/master/doc/machinelearningforkids-apikeys.pdf" TargetMode="External"/><Relationship Id="rId79" Type="http://schemas.openxmlformats.org/officeDocument/2006/relationships/hyperlink" Target="https://github.com/dalelane/ml-for-kids/raw/master/doc/machinelearningforkids-apikeys.pdf"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github.com/IBM/taxinomitis-docs/tree/master/scratch-templates" TargetMode="External"/><Relationship Id="rId95"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github.com/IBM/taxinomitis-docs/tree/master/scratch-template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67" Type="http://schemas.openxmlformats.org/officeDocument/2006/relationships/hyperlink" Target="https://github.com/IBM/taxinomitis-docs/tree/master/project-worksheets/msword" TargetMode="External"/><Relationship Id="rId103" Type="http://schemas.openxmlformats.org/officeDocument/2006/relationships/theme" Target="theme/theme1.xm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62"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worksheets" TargetMode="External"/><Relationship Id="rId91"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project-worksheets/msword" TargetMode="External"/><Relationship Id="rId94" Type="http://schemas.openxmlformats.org/officeDocument/2006/relationships/hyperlink" Target="https://github.com/dalelane/ml-for-kids/raw/master/doc/machinelearningforkids-apikeys.pdf"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workshee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37</Pages>
  <Words>10898</Words>
  <Characters>62120</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256</cp:revision>
  <cp:lastPrinted>2019-03-30T01:21:00Z</cp:lastPrinted>
  <dcterms:created xsi:type="dcterms:W3CDTF">2018-02-24T12:55:00Z</dcterms:created>
  <dcterms:modified xsi:type="dcterms:W3CDTF">2019-03-30T01:21:00Z</dcterms:modified>
</cp:coreProperties>
</file>