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2F5" w:rsidRDefault="008702F5" w:rsidP="008702F5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Security Guidance for Core Components</w:t>
      </w:r>
    </w:p>
    <w:p w:rsidR="008702F5" w:rsidRPr="008702F5" w:rsidRDefault="008702F5" w:rsidP="008702F5"/>
    <w:p w:rsidR="00BF4CAC" w:rsidRDefault="0070743B" w:rsidP="008702F5">
      <w:pPr>
        <w:rPr>
          <w:rFonts w:eastAsia="Times New Roman"/>
        </w:rPr>
      </w:pPr>
      <w:r>
        <w:rPr>
          <w:rFonts w:eastAsia="Times New Roman"/>
        </w:rPr>
        <w:t xml:space="preserve">In the open-source code, we’ve provided access to </w:t>
      </w:r>
      <w:r w:rsidR="00CA5115">
        <w:rPr>
          <w:rFonts w:eastAsia="Times New Roman"/>
        </w:rPr>
        <w:t xml:space="preserve">Web-based </w:t>
      </w:r>
      <w:r>
        <w:rPr>
          <w:rFonts w:eastAsia="Times New Roman"/>
        </w:rPr>
        <w:t xml:space="preserve">application programming interfaces (APIs) and database software. As a part of this, we also wanted to provide some high-level security guidelines for these core components. </w:t>
      </w:r>
    </w:p>
    <w:p w:rsidR="00BF4CAC" w:rsidRDefault="00BF4CAC" w:rsidP="008702F5">
      <w:pPr>
        <w:rPr>
          <w:rFonts w:eastAsia="Times New Roman"/>
        </w:rPr>
      </w:pPr>
    </w:p>
    <w:p w:rsidR="00CA5115" w:rsidRDefault="00CA5115" w:rsidP="00CA5115">
      <w:pPr>
        <w:rPr>
          <w:rFonts w:eastAsia="Times New Roman"/>
        </w:rPr>
      </w:pPr>
      <w:r>
        <w:rPr>
          <w:rFonts w:eastAsia="Times New Roman"/>
        </w:rPr>
        <w:t>Database Guidance:</w:t>
      </w:r>
    </w:p>
    <w:p w:rsidR="00CA5115" w:rsidRDefault="00CA5115" w:rsidP="00CA5115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Ensure connection strings have Encrypt=True and </w:t>
      </w:r>
      <w:proofErr w:type="spellStart"/>
      <w:r>
        <w:rPr>
          <w:rFonts w:eastAsia="Times New Roman"/>
        </w:rPr>
        <w:t>TrustServerCertificate</w:t>
      </w:r>
      <w:proofErr w:type="spellEnd"/>
      <w:r>
        <w:rPr>
          <w:rFonts w:eastAsia="Times New Roman"/>
        </w:rPr>
        <w:t xml:space="preserve">=False. </w:t>
      </w:r>
    </w:p>
    <w:p w:rsidR="00CA5115" w:rsidRPr="00CA5115" w:rsidRDefault="00CA5115" w:rsidP="00CA5115">
      <w:pPr>
        <w:numPr>
          <w:ilvl w:val="1"/>
          <w:numId w:val="1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Provide the customer guidance on establishing encryption at rest using </w:t>
      </w:r>
      <w:hyperlink r:id="rId7" w:history="1">
        <w:r>
          <w:rPr>
            <w:rStyle w:val="Hyperlink"/>
            <w:rFonts w:eastAsia="Times New Roman"/>
          </w:rPr>
          <w:t>TDE</w:t>
        </w:r>
      </w:hyperlink>
      <w:r>
        <w:rPr>
          <w:rStyle w:val="Hyperlink"/>
          <w:rFonts w:eastAsia="Times New Roman"/>
        </w:rPr>
        <w:t xml:space="preserve">. </w:t>
      </w:r>
    </w:p>
    <w:p w:rsidR="00CA5115" w:rsidRDefault="00CA5115" w:rsidP="00CA5115">
      <w:pPr>
        <w:ind w:left="1440"/>
        <w:rPr>
          <w:rFonts w:eastAsia="Times New Roman"/>
        </w:rPr>
      </w:pPr>
      <w:bookmarkStart w:id="0" w:name="_GoBack"/>
      <w:bookmarkEnd w:id="0"/>
    </w:p>
    <w:p w:rsidR="008702F5" w:rsidRDefault="00BF4CAC" w:rsidP="008702F5">
      <w:pPr>
        <w:rPr>
          <w:rFonts w:eastAsia="Times New Roman"/>
        </w:rPr>
      </w:pPr>
      <w:r>
        <w:rPr>
          <w:rFonts w:eastAsia="Times New Roman"/>
        </w:rPr>
        <w:t>Personally Identifiable Information (</w:t>
      </w:r>
      <w:r w:rsidR="008702F5">
        <w:rPr>
          <w:rFonts w:eastAsia="Times New Roman"/>
        </w:rPr>
        <w:t>PII</w:t>
      </w:r>
      <w:r>
        <w:rPr>
          <w:rFonts w:eastAsia="Times New Roman"/>
        </w:rPr>
        <w:t>)</w:t>
      </w:r>
      <w:r w:rsidR="008702F5">
        <w:rPr>
          <w:rFonts w:eastAsia="Times New Roman"/>
        </w:rPr>
        <w:t xml:space="preserve"> Data</w:t>
      </w:r>
      <w:r>
        <w:rPr>
          <w:rFonts w:eastAsia="Times New Roman"/>
        </w:rPr>
        <w:t xml:space="preserve"> (PII data is any data that has any personally identifiable metadata about an individual, e.g. email address, social security number (or government ID number), phone number, etc.)</w:t>
      </w:r>
      <w:r w:rsidR="008702F5">
        <w:rPr>
          <w:rFonts w:eastAsia="Times New Roman"/>
        </w:rPr>
        <w:t>:</w:t>
      </w:r>
    </w:p>
    <w:p w:rsidR="008702F5" w:rsidRDefault="008702F5" w:rsidP="008702F5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It is your responsibility to treat PII data appropriately based on regional rules. </w:t>
      </w:r>
      <w:r w:rsidR="00BF4CAC">
        <w:rPr>
          <w:rFonts w:eastAsia="Times New Roman"/>
        </w:rPr>
        <w:t xml:space="preserve">When deploying applications to the Cloud, you must ensure that you are both familiar with your regional data policies and conform to them. </w:t>
      </w:r>
    </w:p>
    <w:p w:rsidR="00CA5115" w:rsidRPr="008702F5" w:rsidRDefault="00CA5115" w:rsidP="00CA5115">
      <w:pPr>
        <w:pStyle w:val="ListParagraph"/>
        <w:ind w:left="1446"/>
        <w:rPr>
          <w:rFonts w:eastAsia="Times New Roman"/>
        </w:rPr>
      </w:pPr>
    </w:p>
    <w:p w:rsidR="008702F5" w:rsidRDefault="008702F5" w:rsidP="008702F5">
      <w:pPr>
        <w:rPr>
          <w:rFonts w:eastAsia="Times New Roman"/>
        </w:rPr>
      </w:pPr>
      <w:r>
        <w:rPr>
          <w:rFonts w:eastAsia="Times New Roman"/>
        </w:rPr>
        <w:t>Web API</w:t>
      </w:r>
      <w:r w:rsidR="00BF4CAC">
        <w:rPr>
          <w:rFonts w:eastAsia="Times New Roman"/>
        </w:rPr>
        <w:t>:</w:t>
      </w:r>
    </w:p>
    <w:p w:rsidR="008702F5" w:rsidRDefault="008702F5" w:rsidP="008702F5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Provide customer guidance against XSS and CSRF</w:t>
      </w:r>
      <w:r w:rsidR="00BF4CAC">
        <w:rPr>
          <w:rFonts w:eastAsia="Times New Roman"/>
        </w:rPr>
        <w:t xml:space="preserve">. </w:t>
      </w:r>
    </w:p>
    <w:p w:rsidR="008702F5" w:rsidRDefault="008702F5" w:rsidP="008702F5">
      <w:pPr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Another thing to explore is the </w:t>
      </w:r>
      <w:hyperlink r:id="rId8" w:history="1">
        <w:r>
          <w:rPr>
            <w:rStyle w:val="Hyperlink"/>
            <w:rFonts w:eastAsia="Times New Roman"/>
          </w:rPr>
          <w:t>Web Application Firewall</w:t>
        </w:r>
      </w:hyperlink>
    </w:p>
    <w:p w:rsidR="008702F5" w:rsidRDefault="008702F5" w:rsidP="008702F5">
      <w:pPr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Provide customer guidance around certificate generation and consumption.  </w:t>
      </w:r>
    </w:p>
    <w:p w:rsidR="00125823" w:rsidRDefault="00125823" w:rsidP="00120D7F">
      <w:pPr>
        <w:rPr>
          <w:rFonts w:eastAsia="Times New Roman"/>
        </w:rPr>
      </w:pPr>
    </w:p>
    <w:tbl>
      <w:tblPr>
        <w:tblW w:w="1269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8"/>
        <w:gridCol w:w="2525"/>
        <w:gridCol w:w="2521"/>
        <w:gridCol w:w="3446"/>
      </w:tblGrid>
      <w:tr w:rsidR="008702F5" w:rsidTr="008702F5">
        <w:trPr>
          <w:trHeight w:val="1183"/>
        </w:trPr>
        <w:tc>
          <w:tcPr>
            <w:tcW w:w="419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spacing w:after="20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Algorithm Type</w:t>
            </w:r>
          </w:p>
        </w:tc>
        <w:tc>
          <w:tcPr>
            <w:tcW w:w="2525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spacing w:after="20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Not Allowed</w:t>
            </w:r>
          </w:p>
          <w:p w:rsidR="008702F5" w:rsidRDefault="008702F5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crypto algorithms / Keys must be replaced in existing code or used only for decryption</w:t>
            </w:r>
          </w:p>
        </w:tc>
        <w:tc>
          <w:tcPr>
            <w:tcW w:w="2521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spacing w:after="20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Minimally Acceptable </w:t>
            </w:r>
          </w:p>
          <w:p w:rsidR="008702F5" w:rsidRDefault="008702F5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Crypto algorithms/key lengths okay for existing code</w:t>
            </w:r>
          </w:p>
        </w:tc>
        <w:tc>
          <w:tcPr>
            <w:tcW w:w="3446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spacing w:after="20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Recommended</w:t>
            </w:r>
          </w:p>
          <w:p w:rsidR="008702F5" w:rsidRDefault="008702F5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Crypto algorithms / Key lengths for new code</w:t>
            </w:r>
          </w:p>
        </w:tc>
      </w:tr>
      <w:tr w:rsidR="008702F5" w:rsidTr="008702F5">
        <w:trPr>
          <w:trHeight w:val="628"/>
        </w:trPr>
        <w:tc>
          <w:tcPr>
            <w:tcW w:w="419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b/>
                <w:bCs/>
                <w:sz w:val="20"/>
                <w:szCs w:val="20"/>
              </w:rPr>
            </w:pPr>
            <w:r w:rsidRPr="00BF4CAC">
              <w:rPr>
                <w:sz w:val="20"/>
                <w:szCs w:val="20"/>
              </w:rPr>
              <w:t>Symmetric Block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DES, 2 Key 3DES, DESX, RC2, SKIPJACK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Key 3DES***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AES (&gt;=256 bit)</w:t>
            </w:r>
          </w:p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AES (&gt;=128 bit) for Service Bus</w:t>
            </w:r>
          </w:p>
        </w:tc>
      </w:tr>
      <w:tr w:rsidR="008702F5" w:rsidTr="008702F5">
        <w:trPr>
          <w:trHeight w:val="386"/>
        </w:trPr>
        <w:tc>
          <w:tcPr>
            <w:tcW w:w="419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b/>
                <w:bCs/>
                <w:sz w:val="20"/>
                <w:szCs w:val="20"/>
              </w:rPr>
            </w:pPr>
            <w:r w:rsidRPr="00BF4CAC">
              <w:rPr>
                <w:sz w:val="20"/>
                <w:szCs w:val="20"/>
              </w:rPr>
              <w:t>Block Cipher Modes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ECB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02F5" w:rsidRDefault="008702F5">
            <w:pPr>
              <w:rPr>
                <w:sz w:val="20"/>
                <w:szCs w:val="20"/>
              </w:rPr>
            </w:pPr>
          </w:p>
        </w:tc>
        <w:tc>
          <w:tcPr>
            <w:tcW w:w="3446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CBC, CCM, GCM</w:t>
            </w:r>
            <w:r>
              <w:t>*</w:t>
            </w:r>
          </w:p>
        </w:tc>
      </w:tr>
      <w:tr w:rsidR="008702F5" w:rsidTr="008702F5">
        <w:trPr>
          <w:trHeight w:val="588"/>
        </w:trPr>
        <w:tc>
          <w:tcPr>
            <w:tcW w:w="419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b/>
                <w:bCs/>
                <w:sz w:val="20"/>
                <w:szCs w:val="20"/>
              </w:rPr>
            </w:pPr>
            <w:r w:rsidRPr="00BF4CAC">
              <w:rPr>
                <w:sz w:val="20"/>
                <w:szCs w:val="20"/>
              </w:rPr>
              <w:t>Symmetric Stream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SEAL, CYLINK_MEK, RC4 (&lt;128bit or </w:t>
            </w:r>
            <w:proofErr w:type="spellStart"/>
            <w:r>
              <w:rPr>
                <w:sz w:val="20"/>
                <w:szCs w:val="20"/>
              </w:rPr>
              <w:t>unreviewed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RC4 (&gt;= 128bit)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Block cipher is preferred</w:t>
            </w:r>
          </w:p>
        </w:tc>
      </w:tr>
      <w:tr w:rsidR="008702F5" w:rsidTr="008702F5">
        <w:trPr>
          <w:trHeight w:val="1668"/>
        </w:trPr>
        <w:tc>
          <w:tcPr>
            <w:tcW w:w="419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b/>
                <w:bCs/>
                <w:sz w:val="20"/>
                <w:szCs w:val="20"/>
              </w:rPr>
            </w:pPr>
            <w:r w:rsidRPr="00BF4CAC">
              <w:rPr>
                <w:sz w:val="20"/>
                <w:szCs w:val="20"/>
              </w:rPr>
              <w:lastRenderedPageBreak/>
              <w:t>Asymmetric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RSA (&lt;2048 bit),</w:t>
            </w:r>
          </w:p>
          <w:p w:rsidR="008702F5" w:rsidRDefault="008702F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Diffie</w:t>
            </w:r>
            <w:proofErr w:type="spellEnd"/>
            <w:r>
              <w:rPr>
                <w:sz w:val="20"/>
                <w:szCs w:val="20"/>
              </w:rPr>
              <w:t>-Hellman (&lt;2048 bit), 1024 bit DSA, exception process for smart cards and other HW able to support 1024  but less than 2048 bits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RSA (&gt;= 2048bit),</w:t>
            </w:r>
          </w:p>
          <w:p w:rsidR="008702F5" w:rsidRDefault="008702F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Diffie</w:t>
            </w:r>
            <w:proofErr w:type="spellEnd"/>
            <w:r>
              <w:rPr>
                <w:sz w:val="20"/>
                <w:szCs w:val="20"/>
              </w:rPr>
              <w:t>-Hellman (&gt;= 2048bit)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RSA (&gt;=2048bit),</w:t>
            </w:r>
          </w:p>
          <w:p w:rsidR="008702F5" w:rsidRDefault="008702F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Diffie</w:t>
            </w:r>
            <w:proofErr w:type="spellEnd"/>
            <w:r>
              <w:rPr>
                <w:sz w:val="20"/>
                <w:szCs w:val="20"/>
              </w:rPr>
              <w:t>-Hellman (&gt;= 2048bit),</w:t>
            </w:r>
          </w:p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 (&gt;= 256bit),</w:t>
            </w:r>
          </w:p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Elliptic Curve Cryptography P-256 or greater</w:t>
            </w:r>
          </w:p>
        </w:tc>
      </w:tr>
      <w:tr w:rsidR="008702F5" w:rsidTr="008702F5">
        <w:trPr>
          <w:trHeight w:val="404"/>
        </w:trPr>
        <w:tc>
          <w:tcPr>
            <w:tcW w:w="419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BF4CAC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Hash, including </w:t>
            </w:r>
            <w:r w:rsidR="008702F5" w:rsidRPr="00BF4CAC">
              <w:rPr>
                <w:sz w:val="20"/>
                <w:szCs w:val="20"/>
              </w:rPr>
              <w:t>HMAC usage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SHA-0 (SHA), SHA-1**, MD2, MD4, MD5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3DES MAC</w:t>
            </w:r>
          </w:p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SHA-2 (SHA-224), 3DES MAC for Service Bus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SHA-2</w:t>
            </w:r>
          </w:p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(SHA-256,</w:t>
            </w:r>
          </w:p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SHA-384,</w:t>
            </w:r>
          </w:p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SHA-512)</w:t>
            </w:r>
          </w:p>
          <w:p w:rsidR="008702F5" w:rsidRDefault="008702F5">
            <w:pPr>
              <w:rPr>
                <w:sz w:val="20"/>
                <w:szCs w:val="20"/>
              </w:rPr>
            </w:pPr>
          </w:p>
        </w:tc>
      </w:tr>
      <w:tr w:rsidR="008702F5" w:rsidTr="008702F5">
        <w:trPr>
          <w:trHeight w:val="394"/>
        </w:trPr>
        <w:tc>
          <w:tcPr>
            <w:tcW w:w="419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Pr="00BF4CAC" w:rsidRDefault="008702F5">
            <w:pPr>
              <w:rPr>
                <w:color w:val="0563C1"/>
                <w:sz w:val="20"/>
                <w:szCs w:val="20"/>
              </w:rPr>
            </w:pPr>
            <w:r w:rsidRPr="00BF4CAC">
              <w:rPr>
                <w:rStyle w:val="Hyperlink"/>
                <w:color w:val="auto"/>
                <w:sz w:val="20"/>
                <w:szCs w:val="20"/>
                <w:u w:val="none"/>
              </w:rPr>
              <w:t>HMAC Key Lengths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&lt;112bit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112bit =&lt; x &lt; 128bit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 128bit</w:t>
            </w:r>
          </w:p>
        </w:tc>
      </w:tr>
      <w:tr w:rsidR="008702F5" w:rsidTr="008702F5">
        <w:trPr>
          <w:trHeight w:val="628"/>
        </w:trPr>
        <w:tc>
          <w:tcPr>
            <w:tcW w:w="4198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b/>
                <w:bCs/>
                <w:sz w:val="20"/>
                <w:szCs w:val="20"/>
              </w:rPr>
            </w:pPr>
            <w:r w:rsidRPr="00BF4CAC">
              <w:rPr>
                <w:sz w:val="20"/>
                <w:szCs w:val="20"/>
              </w:rPr>
              <w:t>Symmetric Block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DES, 2 Key 3DES, DESX, RC2, SKIPJACK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Key 3DES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02F5" w:rsidRDefault="0087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AES (&gt;=256 bit)</w:t>
            </w:r>
          </w:p>
          <w:p w:rsidR="008702F5" w:rsidRDefault="008702F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AES (&gt;=128 bit) for Service Bus</w:t>
            </w:r>
          </w:p>
        </w:tc>
      </w:tr>
    </w:tbl>
    <w:p w:rsidR="008702F5" w:rsidRDefault="008702F5" w:rsidP="008702F5"/>
    <w:p w:rsidR="003F36BB" w:rsidRDefault="003F36BB"/>
    <w:sectPr w:rsidR="003F36BB" w:rsidSect="008702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183" w:rsidRDefault="00567183" w:rsidP="008702F5">
      <w:r>
        <w:separator/>
      </w:r>
    </w:p>
  </w:endnote>
  <w:endnote w:type="continuationSeparator" w:id="0">
    <w:p w:rsidR="00567183" w:rsidRDefault="00567183" w:rsidP="0087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2F5" w:rsidRDefault="0087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2F5" w:rsidRDefault="008702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2F5" w:rsidRDefault="0087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183" w:rsidRDefault="00567183" w:rsidP="008702F5">
      <w:r>
        <w:separator/>
      </w:r>
    </w:p>
  </w:footnote>
  <w:footnote w:type="continuationSeparator" w:id="0">
    <w:p w:rsidR="00567183" w:rsidRDefault="00567183" w:rsidP="00870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2F5" w:rsidRDefault="00870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2F5" w:rsidRDefault="008702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2F5" w:rsidRDefault="008702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107C"/>
    <w:multiLevelType w:val="hybridMultilevel"/>
    <w:tmpl w:val="21BC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87285"/>
    <w:multiLevelType w:val="hybridMultilevel"/>
    <w:tmpl w:val="8B4AFA36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F5"/>
    <w:rsid w:val="00067D22"/>
    <w:rsid w:val="00120D7F"/>
    <w:rsid w:val="00125823"/>
    <w:rsid w:val="003F36BB"/>
    <w:rsid w:val="00533261"/>
    <w:rsid w:val="00567183"/>
    <w:rsid w:val="0070743B"/>
    <w:rsid w:val="008702F5"/>
    <w:rsid w:val="00A509CF"/>
    <w:rsid w:val="00BF4CAC"/>
    <w:rsid w:val="00CA5115"/>
    <w:rsid w:val="00E9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1E91D"/>
  <w15:chartTrackingRefBased/>
  <w15:docId w15:val="{43C22881-2AB4-4F1B-8AE2-7BE54DAC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02F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02F5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02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0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2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2F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702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2F5"/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1258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pplication-gateway/application-gateway-web-application-firewall-overview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relational-databases/security/encryption/transparent-data-encryption-with-azure-sql-databas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Gopaladesikan</dc:creator>
  <cp:keywords/>
  <dc:description/>
  <cp:lastModifiedBy>Steve Fox (TED)</cp:lastModifiedBy>
  <cp:revision>6</cp:revision>
  <dcterms:created xsi:type="dcterms:W3CDTF">2017-07-07T06:09:00Z</dcterms:created>
  <dcterms:modified xsi:type="dcterms:W3CDTF">2017-07-11T22:05:00Z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sugopa@microsoft.com</vt:lpwstr>
  </property>
  <property fmtid="{D5CDD505-2E9C-101B-9397-08002B2CF9AE}" pid="6" name="MSIP_Label_f42aa342-8706-4288-bd11-ebb85995028c_SetDate">
    <vt:lpwstr>2017-07-06T23:13:17.6017928-07:00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