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36"/>
          <w:szCs w:val="36"/>
        </w:rPr>
        <w:t xml:space="preserve">Data Pack — README</w:t>
      </w:r>
    </w:p>
    <w:p>
      <w:pPr>
        <w:spacing w:after="120"/>
      </w:pPr>
      <w:r>
        <w:t xml:space="preserve">This pack contains everything referenced in the assignment: two telemetry files, two matching price files, and the compliance rulebook. All files are synthetic but built to behave like real SCADA/market data, including realistic data quality problems. Nothing here needs external lookups.</w:t>
      </w:r>
    </w:p>
    <w:p>
      <w:pPr>
        <w:pStyle w:val="Heading1"/>
        <w:spacing w:after="140" w:before="320"/>
      </w:pPr>
      <w:r>
        <w:t xml:space="preserve">Files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200"/>
        <w:gridCol w:w="1200"/>
        <w:gridCol w:w="2720"/>
      </w:tblGrid>
      <w:tr>
        <w:tc>
          <w:tcPr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</w:t>
            </w:r>
          </w:p>
        </w:tc>
        <w:tc>
          <w:tcPr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Rows</w:t>
            </w:r>
          </w:p>
        </w:tc>
        <w:tc>
          <w:tcPr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Period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turbine_telemetry_14day_sample.csv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Part A (agent)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1,680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2026-03-01 to 03-14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dam_price_14day_sample.csv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Part A (agent)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336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2026-03-01 to 03-14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turbine_telemetry_90day.csv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Part B (forecast)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10,725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2026-03-01 to 05-29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dam_price_90day.csv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Part B (forecast)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2,160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2026-03-01 to 05-29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compliance_rulebook.docx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Part A (agent)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reference document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The 14-day files are an exact slice of the first 14 days of the 90-day files — same generation process, same turbine fleet, same units. Use the 14-day files for Part A so the agent has less data to reason over; use the full 90-day files for Part B where you need enough history to forecast.</w:t>
      </w:r>
    </w:p>
    <w:p>
      <w:pPr>
        <w:pStyle w:val="Heading1"/>
        <w:spacing w:after="140" w:before="320"/>
      </w:pPr>
      <w:r>
        <w:t xml:space="preserve">turbine_telemetry_*.csv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820"/>
      </w:tblGrid>
      <w:tr>
        <w:tc>
          <w:tcPr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datetime, hourly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One row per turbine per hour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turbine_id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T01–T05, five turbines in one wind farm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wind_speed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Hub-height wind speed, expected unit m/s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power_kw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Active power output, kW. Nameplate capacity is 2,000 kW per turbine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availability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float (0 or 1)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= turbine online and reporting, 0 = known offline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every turbine has a row for every hour. Missing rows mean missing telemetry, not zero output — don't assume a gap equals zero.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power curve is a standard cubic ramp between cut-in (3 m/s) and rated speed (12 m/s), flat at rated capacity up to cut-out (25 m/s), plus sensor noise. If a turbine's power doesn't track its reported wind speed the way you'd expect from that curve, that's worth investigating rather than averaging over.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real-world-shaped data, not clean textbook data. We are not going to tell you what's wrong with it — finding and handling that is part of the assignment.</w:t>
      </w:r>
    </w:p>
    <w:p>
      <w:pPr>
        <w:pStyle w:val="Heading1"/>
        <w:spacing w:after="140" w:before="320"/>
      </w:pPr>
      <w:r>
        <w:t xml:space="preserve">dam_price_*.csv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820"/>
      </w:tblGrid>
      <w:tr>
        <w:tc>
          <w:tcPr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datetime, hourly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Same clock as the telemetry files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dam_price_inr_per_kwh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Day-ahead market clearing price, ₹/kWh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Price has a diurnal shape (evening peak, overnight trough), a weekday/weekend effect, and occasional demand spikes. It is not turbine-specific — it's one series for the whole period, representing the grid price the farm sells into or the electrolyzer buys from.</w:t>
      </w:r>
    </w:p>
    <w:p>
      <w:pPr>
        <w:pStyle w:val="Heading1"/>
        <w:spacing w:after="140" w:before="320"/>
      </w:pPr>
      <w:r>
        <w:t xml:space="preserve">compliance_rulebook.docx</w:t>
      </w:r>
    </w:p>
    <w:p>
      <w:pPr>
        <w:spacing w:after="120"/>
      </w:pPr>
      <w:r>
        <w:t xml:space="preserve">A short, self-contained set of six rules governing RFNBO temporal correlation, curtailment handling, and reporting granularity. It's deliberately brief — if a question can't be answered from these six rules, the correct agent behavior is to say so, not to guess.</w:t>
      </w:r>
    </w:p>
    <w:p>
      <w:pPr>
        <w:pStyle w:val="Heading1"/>
        <w:spacing w:after="140" w:before="320"/>
      </w:pPr>
      <w:r>
        <w:t xml:space="preserve">What we won't tell you</w:t>
      </w:r>
    </w:p>
    <w:p>
      <w:pPr>
        <w:spacing w:after="120"/>
      </w:pPr>
      <w:r>
        <w:t xml:space="preserve">The telemetry data has known, deliberate quality issues — the kind you'd actually hit with SCADA data (comms outages, sensor calibration drift, a unit mismatch after a firmware update, that sort of thing). Part of Part B is finding and documenting them yourself. Write up what you find and how you handled it; that's more valuable to us than a model that silently trains through bad data.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2026-08-11T08:09:48.431Z</dcterms:created>
  <dcterms:modified xsi:type="dcterms:W3CDTF">2026-08-11T08:09:48.449Z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