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RFNBO Temporal Correlation — Compliance Rulebook</w:t>
      </w:r>
    </w:p>
    <w:p>
      <w:pPr>
        <w:spacing w:after="220"/>
      </w:pPr>
      <w:r>
        <w:rPr>
          <w:color w:val="555555"/>
          <w:sz w:val="22"/>
          <w:szCs w:val="22"/>
        </w:rPr>
        <w:t xml:space="preserve">Reference Extract</w:t>
      </w:r>
    </w:p>
    <w:p>
      <w:pPr>
        <w:spacing w:after="140"/>
      </w:pPr>
      <w:r>
        <w:rPr>
          <w:i w:val="false"/>
          <w:iCs w:val="false"/>
        </w:rPr>
        <w:t xml:space="preserve">This is a simplified extract for the purposes of the assignment. It captures the structure of real RFNBO temporal correlation requirements without reproducing any specific regulation verbatim. Treat it as the source of truth for any question the agent needs to answer about compliance.</w:t>
      </w:r>
    </w:p>
    <w:p>
      <w:pPr>
        <w:pStyle w:val="Heading1"/>
        <w:spacing w:after="120" w:before="280"/>
      </w:pPr>
      <w:r>
        <w:t xml:space="preserve">Rule 1 — Correlation window</w:t>
      </w:r>
    </w:p>
    <w:p>
      <w:pPr>
        <w:spacing w:after="140"/>
      </w:pPr>
      <w:r>
        <w:rPr>
          <w:i w:val="false"/>
          <w:iCs w:val="false"/>
        </w:rPr>
        <w:t xml:space="preserve">Electrolyzer electricity consumption in a given hour is considered temporally correlated with renewable generation if renewable output was greater than zero in that same clock hour, at the facility's home price/grid area.</w:t>
      </w:r>
    </w:p>
    <w:p>
      <w:pPr>
        <w:pStyle w:val="Heading1"/>
        <w:spacing w:after="120" w:before="280"/>
      </w:pPr>
      <w:r>
        <w:t xml:space="preserve">Rule 2 — Monthly averaging (current phase)</w:t>
      </w:r>
    </w:p>
    <w:p>
      <w:pPr>
        <w:spacing w:after="140"/>
      </w:pPr>
      <w:r>
        <w:rPr>
          <w:i w:val="false"/>
          <w:iCs w:val="false"/>
        </w:rPr>
        <w:t xml:space="preserve">Until the hourly-matching phase takes effect, correlation may be assessed on a monthly basis: total renewable generation for the calendar month must be greater than or equal to total electrolyzer consumption for that month, even if individual hours don't match.</w:t>
      </w:r>
    </w:p>
    <w:p>
      <w:pPr>
        <w:pStyle w:val="Heading1"/>
        <w:spacing w:after="120" w:before="280"/>
      </w:pPr>
      <w:r>
        <w:t xml:space="preserve">Rule 3 — Hourly matching (future phase)</w:t>
      </w:r>
    </w:p>
    <w:p>
      <w:pPr>
        <w:spacing w:after="140"/>
      </w:pPr>
      <w:r>
        <w:rPr>
          <w:i w:val="false"/>
          <w:iCs w:val="false"/>
        </w:rPr>
        <w:t xml:space="preserve">Once hourly matching applies, correlation must be assessed per hour: for each hour of electrolyzer operation, renewable generation in that same hour must be greater than or equal to electrolyzer consumption in that hour. A month with 90% or more of its hours individually compliant is treated as compliant for that month; below 90%, the month fails regardless of the monthly total.</w:t>
      </w:r>
    </w:p>
    <w:p>
      <w:pPr>
        <w:pStyle w:val="Heading1"/>
        <w:spacing w:after="120" w:before="280"/>
      </w:pPr>
      <w:r>
        <w:t xml:space="preserve">Rule 4 — Curtailment and outages</w:t>
      </w:r>
    </w:p>
    <w:p>
      <w:pPr>
        <w:spacing w:after="140"/>
      </w:pPr>
      <w:r>
        <w:rPr>
          <w:i w:val="false"/>
          <w:iCs w:val="false"/>
        </w:rPr>
        <w:t xml:space="preserve">Hours where a renewable asset is marked unavailable (availability = 0) or where telemetry is missing are excluded from both the numerator and denominator of the correlation calculation for that asset — they are treated as “no data,” not as zero generation.</w:t>
      </w:r>
    </w:p>
    <w:p>
      <w:pPr>
        <w:pStyle w:val="Heading1"/>
        <w:spacing w:after="120" w:before="280"/>
      </w:pPr>
      <w:r>
        <w:t xml:space="preserve">Rule 5 — Grid purchases</w:t>
      </w:r>
    </w:p>
    <w:p>
      <w:pPr>
        <w:spacing w:after="140"/>
      </w:pPr>
      <w:r>
        <w:rPr>
          <w:i w:val="false"/>
          <w:iCs w:val="false"/>
        </w:rPr>
        <w:t xml:space="preserve">Any electrolyzer consumption sourced from grid purchases (as opposed to directly metered renewable output) does not count toward correlation, even if renewable generation was available at the same hour, unless a matching power purchase agreement with hourly attribution is in place.</w:t>
      </w:r>
    </w:p>
    <w:p>
      <w:pPr>
        <w:pStyle w:val="Heading1"/>
        <w:spacing w:after="120" w:before="280"/>
      </w:pPr>
      <w:r>
        <w:t xml:space="preserve">Rule 6 — Reporting granularity</w:t>
      </w:r>
    </w:p>
    <w:p>
      <w:pPr>
        <w:spacing w:after="140"/>
      </w:pPr>
      <w:r>
        <w:rPr>
          <w:i w:val="false"/>
          <w:iCs w:val="false"/>
        </w:rPr>
        <w:t xml:space="preserve">Compliance reporting must be produced at hourly granularity once Rule 3 applies, and at monthly granularity under Rule 2. Reports must state which rule (2 or 3) was applied and why.</w:t>
      </w:r>
    </w:p>
    <w:p>
      <w:pPr>
        <w:spacing w:after="140"/>
      </w:pPr>
      <w:r>
        <w:rPr>
          <w:i/>
          <w:iCs/>
        </w:rPr>
        <w:t xml:space="preserve">This document is intentionally short. If a question can't be answered from these six rules, say so rather than inventing a rule.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2026-08-11T08:10:01.584Z</dcterms:created>
  <dcterms:modified xsi:type="dcterms:W3CDTF">2026-08-11T08:10:01.584Z</dcterms:modified>
</cp:coreProperties>
</file>

<file path=docProps/custom.xml><?xml version="1.0" encoding="utf-8"?>
<Properties xmlns="http://schemas.openxmlformats.org/officeDocument/2006/custom-properties" xmlns:vt="http://schemas.openxmlformats.org/officeDocument/2006/docPropsVTypes"/>
</file>