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Part B — Short-Horizon Renewable Generation Forecasting</w:t>
      </w:r>
    </w:p>
    <w:p>
      <w:pPr>
        <w:jc w:val="center"/>
      </w:pPr>
      <w:r>
        <w:rPr>
          <w:i/>
        </w:rPr>
        <w:t>Wind Farm Fleet-Level Forecasting and Walk-Forward Validation</w:t>
      </w:r>
    </w:p>
    <w:p>
      <w:pPr>
        <w:pStyle w:val="Heading1"/>
      </w:pPr>
      <w:r>
        <w:t>1. Problem Framing</w:t>
      </w:r>
    </w:p>
    <w:p>
      <w:pPr>
        <w:spacing w:after="100"/>
      </w:pPr>
      <w:r>
        <w:t>The objective of Part B was to forecast next-day renewable generation using the 90-day turbine telemetry dataset. The dataset contains hourly measurements from five wind turbines, including wind speed, power output, and availability. Before modelling, the telemetry was treated as operational SCADA data rather than assuming it was clean. Missing records, abnormal sensor behaviour, and inconsistencies were investigated through temporal completeness checks, distribution analysis, and the documented turbine power curve. After cleaning, the five turbines were aggregated to an hourly fleet-level generation series and two forecasting approaches were developed: a 24-hour persistence baseline and a Gradient Boosting regression model. The models were evaluated using expanding walk-forward validation.</w:t>
      </w:r>
    </w:p>
    <w:p>
      <w:pPr>
        <w:spacing w:after="100"/>
      </w:pPr>
      <w:r>
        <w:t>The supplied documentation states that the telemetry is hourly, contains five turbines, and that each turbine has a 2,000 kW nameplate capacity. It also warns that missing turbine rows represent missing telemetry rather than zero generation.</w:t>
      </w:r>
    </w:p>
    <w:p>
      <w:pPr>
        <w:pStyle w:val="Heading1"/>
      </w:pPr>
      <w:r>
        <w:t>2. Exploratory Data Analysis and Data Quality</w:t>
      </w:r>
    </w:p>
    <w:p>
      <w:pPr>
        <w:spacing w:after="100"/>
      </w:pPr>
      <w:r>
        <w:t>The telemetry dataset contained 10,725 observations covering 1 March to 29 May 2026 across five turbines. A complete 90-day period would contain 90 × 24 × 5 = 10,800 turbine-hour observations, leaving 75 missing turbine-hour combinations.</w:t>
      </w:r>
    </w:p>
    <w:p>
      <w:pPr>
        <w:spacing w:after="100"/>
      </w:pPr>
      <w:r>
        <w:t>The missing records were concentrated on 20 April 2026, where all five turbines were absent for the same 15-hour period from 00:00 to 14:00. This was treated as a telemetry/comms gap rather than zero generation. At fleet level, the 15-hour outage was retained as missing rather than filled with artificial zero-generation observations.</w:t>
      </w:r>
    </w:p>
    <w:p>
      <w:pPr>
        <w:spacing w:after="100"/>
      </w:pPr>
      <w:r>
        <w:t>Wind-speed distributions were broadly similar across T01–T04. T05 showed a substantially different distribution with a long high-wind-speed tail, indicating a likely sensor scaling/unit inconsistency.</w:t>
      </w:r>
    </w:p>
    <w:p>
      <w:pPr>
        <w:pStyle w:val="Heading1"/>
      </w:pPr>
      <w:r>
        <w:t>3. Physical Relationship and Anomaly Investigation</w:t>
      </w:r>
    </w:p>
    <w:p>
      <w:pPr>
        <w:spacing w:after="100"/>
      </w:pPr>
      <w:r>
        <w:t>The documented turbine power curve describes a cubic power ramp between approximately 3 m/s cut-in and 12 m/s rated speed, followed by rated output up to the cut-out region. Each turbine has a 2,000 kW nameplate capacity.</w:t>
      </w:r>
    </w:p>
    <w:p>
      <w:pPr>
        <w:spacing w:after="100"/>
      </w:pPr>
      <w:r>
        <w:t>Observed wind-speed versus power relationships were compared across turbines. T01, T02, T04 and most of T03 followed a broadly consistent relationship, while T05 displayed a shifted wind-speed regime. A data-derived scaling relationship was estimated for the abnormal period and applied only to a corrected copy of the affected wind-speed variable. The corrected relationship became substantially more consistent with the normal turbine power curve.</w:t>
      </w:r>
    </w:p>
    <w:p>
      <w:pPr>
        <w:pStyle w:val="Heading1"/>
      </w:pPr>
      <w:r>
        <w:t>4. Power-Performance Anomaly</w:t>
      </w:r>
    </w:p>
    <w:p>
      <w:pPr>
        <w:spacing w:after="100"/>
      </w:pPr>
      <w:r>
        <w:t>A second anomaly was identified by comparing actual power with expected power from the turbine power curve.</w:t>
      </w:r>
    </w:p>
    <w:p>
      <w:pPr>
        <w:jc w:val="center"/>
      </w:pPr>
      <w:r>
        <w:rPr>
          <w:b/>
        </w:rPr>
        <w:t>Power Ratio = Actual Power / Expected Power</w:t>
      </w:r>
    </w:p>
    <w:p>
      <w:pPr>
        <w:spacing w:after="100"/>
      </w:pPr>
      <w:r>
        <w:t>For the abnormal period, the affected turbine had a median power ratio of approximately 0.7586 compared with an expected ratio of 1.0. A correction factor was estimated as 1 / 0.7586 ≈ 1.318. The factor was applied only to the affected period on a copied power column. After correction, the median corrected power ratio became approximately 1.0.</w:t>
      </w:r>
    </w:p>
    <w:p>
      <w:pPr>
        <w:spacing w:after="100"/>
      </w:pPr>
      <w:r>
        <w:t>Three corrected observations exceeded 2,000 kW, with a maximum corrected value of approximately 2,428.94 kW. These were retained for investigation rather than silently clipped, since the correction should be confirmed against operational instrumentation in a real system.</w:t>
      </w:r>
    </w:p>
    <w:p>
      <w:pPr>
        <w:pStyle w:val="Heading1"/>
      </w:pPr>
      <w:r>
        <w:t>5. Fleet-Level Forecasting Dataset</w:t>
      </w:r>
    </w:p>
    <w:p>
      <w:pPr>
        <w:spacing w:after="100"/>
      </w:pPr>
      <w:r>
        <w:t>After cleaning, the five turbines were aggregated into an hourly fleet-level time series.</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Description</w:t>
            </w:r>
          </w:p>
        </w:tc>
      </w:tr>
      <w:tr>
        <w:tc>
          <w:tcPr>
            <w:tcW w:type="dxa" w:w="5040"/>
          </w:tcPr>
          <w:p>
            <w:r>
              <w:t>total_power_kw</w:t>
            </w:r>
          </w:p>
        </w:tc>
        <w:tc>
          <w:tcPr>
            <w:tcW w:type="dxa" w:w="5040"/>
          </w:tcPr>
          <w:p>
            <w:r>
              <w:t>Sum of cleaned turbine power</w:t>
            </w:r>
          </w:p>
        </w:tc>
      </w:tr>
      <w:tr>
        <w:tc>
          <w:tcPr>
            <w:tcW w:type="dxa" w:w="5040"/>
          </w:tcPr>
          <w:p>
            <w:r>
              <w:t>mean_wind_speed</w:t>
            </w:r>
          </w:p>
        </w:tc>
        <w:tc>
          <w:tcPr>
            <w:tcW w:type="dxa" w:w="5040"/>
          </w:tcPr>
          <w:p>
            <w:r>
              <w:t>Mean cleaned wind speed</w:t>
            </w:r>
          </w:p>
        </w:tc>
      </w:tr>
      <w:tr>
        <w:tc>
          <w:tcPr>
            <w:tcW w:type="dxa" w:w="5040"/>
          </w:tcPr>
          <w:p>
            <w:r>
              <w:t>available_turbines</w:t>
            </w:r>
          </w:p>
        </w:tc>
        <w:tc>
          <w:tcPr>
            <w:tcW w:type="dxa" w:w="5040"/>
          </w:tcPr>
          <w:p>
            <w:r>
              <w:t>Number of available turbines</w:t>
            </w:r>
          </w:p>
        </w:tc>
      </w:tr>
      <w:tr>
        <w:tc>
          <w:tcPr>
            <w:tcW w:type="dxa" w:w="5040"/>
          </w:tcPr>
          <w:p>
            <w:r>
              <w:t>anomalous_turbines</w:t>
            </w:r>
          </w:p>
        </w:tc>
        <w:tc>
          <w:tcPr>
            <w:tcW w:type="dxa" w:w="5040"/>
          </w:tcPr>
          <w:p>
            <w:r>
              <w:t>Number of anomalous turbines</w:t>
            </w:r>
          </w:p>
        </w:tc>
      </w:tr>
    </w:tbl>
    <w:p>
      <w:pPr>
        <w:spacing w:after="100"/>
      </w:pPr>
      <w:r>
        <w:t>The resulting fleet series contained 2,145 observed hourly values over the 2,160-hour expected period, with the 15-hour telemetry gap retained as missing.</w:t>
      </w:r>
    </w:p>
    <w:p>
      <w:pPr>
        <w:pStyle w:val="Heading1"/>
      </w:pPr>
      <w:r>
        <w:t>6. Feature Engineering</w:t>
      </w:r>
    </w:p>
    <w:p>
      <w:pPr>
        <w:spacing w:after="100"/>
      </w:pPr>
      <w:r>
        <w:t>The forecasting model used historical generation and calendar features. Future wind speed was not used because actual future wind speed would not normally be available at forecast time.</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Description</w:t>
            </w:r>
          </w:p>
        </w:tc>
      </w:tr>
      <w:tr>
        <w:tc>
          <w:tcPr>
            <w:tcW w:type="dxa" w:w="5040"/>
          </w:tcPr>
          <w:p>
            <w:r>
              <w:t>lag_1</w:t>
            </w:r>
          </w:p>
        </w:tc>
        <w:tc>
          <w:tcPr>
            <w:tcW w:type="dxa" w:w="5040"/>
          </w:tcPr>
          <w:p>
            <w:r>
              <w:t>Generation one hour earlier</w:t>
            </w:r>
          </w:p>
        </w:tc>
      </w:tr>
      <w:tr>
        <w:tc>
          <w:tcPr>
            <w:tcW w:type="dxa" w:w="5040"/>
          </w:tcPr>
          <w:p>
            <w:r>
              <w:t>lag_24</w:t>
            </w:r>
          </w:p>
        </w:tc>
        <w:tc>
          <w:tcPr>
            <w:tcW w:type="dxa" w:w="5040"/>
          </w:tcPr>
          <w:p>
            <w:r>
              <w:t>Generation 24 hours earlier</w:t>
            </w:r>
          </w:p>
        </w:tc>
      </w:tr>
      <w:tr>
        <w:tc>
          <w:tcPr>
            <w:tcW w:type="dxa" w:w="5040"/>
          </w:tcPr>
          <w:p>
            <w:r>
              <w:t>lag_48</w:t>
            </w:r>
          </w:p>
        </w:tc>
        <w:tc>
          <w:tcPr>
            <w:tcW w:type="dxa" w:w="5040"/>
          </w:tcPr>
          <w:p>
            <w:r>
              <w:t>Generation 48 hours earlier</w:t>
            </w:r>
          </w:p>
        </w:tc>
      </w:tr>
      <w:tr>
        <w:tc>
          <w:tcPr>
            <w:tcW w:type="dxa" w:w="5040"/>
          </w:tcPr>
          <w:p>
            <w:r>
              <w:t>lag_168</w:t>
            </w:r>
          </w:p>
        </w:tc>
        <w:tc>
          <w:tcPr>
            <w:tcW w:type="dxa" w:w="5040"/>
          </w:tcPr>
          <w:p>
            <w:r>
              <w:t>Generation 168 hours earlier / one week earlier</w:t>
            </w:r>
          </w:p>
        </w:tc>
      </w:tr>
      <w:tr>
        <w:tc>
          <w:tcPr>
            <w:tcW w:type="dxa" w:w="5040"/>
          </w:tcPr>
          <w:p>
            <w:r>
              <w:t>rolling_mean_24</w:t>
            </w:r>
          </w:p>
        </w:tc>
        <w:tc>
          <w:tcPr>
            <w:tcW w:type="dxa" w:w="5040"/>
          </w:tcPr>
          <w:p>
            <w:r>
              <w:t>24-hour rolling mean</w:t>
            </w:r>
          </w:p>
        </w:tc>
      </w:tr>
      <w:tr>
        <w:tc>
          <w:tcPr>
            <w:tcW w:type="dxa" w:w="5040"/>
          </w:tcPr>
          <w:p>
            <w:r>
              <w:t>rolling_std_24</w:t>
            </w:r>
          </w:p>
        </w:tc>
        <w:tc>
          <w:tcPr>
            <w:tcW w:type="dxa" w:w="5040"/>
          </w:tcPr>
          <w:p>
            <w:r>
              <w:t>24-hour rolling standard deviation</w:t>
            </w:r>
          </w:p>
        </w:tc>
      </w:tr>
      <w:tr>
        <w:tc>
          <w:tcPr>
            <w:tcW w:type="dxa" w:w="5040"/>
          </w:tcPr>
          <w:p>
            <w:r>
              <w:t>hour</w:t>
            </w:r>
          </w:p>
        </w:tc>
        <w:tc>
          <w:tcPr>
            <w:tcW w:type="dxa" w:w="5040"/>
          </w:tcPr>
          <w:p>
            <w:r>
              <w:t>Hour of day</w:t>
            </w:r>
          </w:p>
        </w:tc>
      </w:tr>
      <w:tr>
        <w:tc>
          <w:tcPr>
            <w:tcW w:type="dxa" w:w="5040"/>
          </w:tcPr>
          <w:p>
            <w:r>
              <w:t>day_of_week</w:t>
            </w:r>
          </w:p>
        </w:tc>
        <w:tc>
          <w:tcPr>
            <w:tcW w:type="dxa" w:w="5040"/>
          </w:tcPr>
          <w:p>
            <w:r>
              <w:t>Day of week</w:t>
            </w:r>
          </w:p>
        </w:tc>
      </w:tr>
    </w:tbl>
    <w:p>
      <w:pPr>
        <w:pStyle w:val="Heading1"/>
      </w:pPr>
      <w:r>
        <w:t>7. Forecasting Models</w:t>
      </w:r>
    </w:p>
    <w:p>
      <w:pPr>
        <w:pStyle w:val="Heading2"/>
      </w:pPr>
      <w:r>
        <w:t>7.1 24-Hour Persistence Baseline</w:t>
      </w:r>
    </w:p>
    <w:p>
      <w:pPr>
        <w:spacing w:after="100"/>
      </w:pPr>
      <w:r>
        <w:t>The baseline predicts each hour using generation from the same hour on the previous day: ŷ(t) = y(t − 24). Persistence provides a simple operational benchmark.</w:t>
      </w:r>
    </w:p>
    <w:p>
      <w:pPr>
        <w:pStyle w:val="Heading2"/>
      </w:pPr>
      <w:r>
        <w:t>7.2 Gradient Boosting</w:t>
      </w:r>
    </w:p>
    <w:p>
      <w:pPr>
        <w:spacing w:after="100"/>
      </w:pPr>
      <w:r>
        <w:t>A GradientBoostingRegressor was trained using the engineered lag, rolling-window and calendar features. Gradient Boosting was selected because it can model nonlinear relationships between historical generation and temporal features without requiring a large deep-learning architecture.</w:t>
      </w:r>
    </w:p>
    <w:p>
      <w:pPr>
        <w:pStyle w:val="Heading1"/>
      </w:pPr>
      <w:r>
        <w:t>8. Walk-Forward Validation</w:t>
      </w:r>
    </w:p>
    <w:p>
      <w:pPr>
        <w:spacing w:after="100"/>
      </w:pPr>
      <w:r>
        <w:t>A random train/test split was avoided because forecasting is chronological. Four expanding walk-forward evaluation windows were used, with each test fold containing 168 hours.</w:t>
      </w:r>
    </w:p>
    <w:tbl>
      <w:tblPr>
        <w:tblStyle w:val="TableGrid"/>
        <w:tblW w:type="auto" w:w="0"/>
        <w:jc w:val="center"/>
        <w:tblLook w:firstColumn="1" w:firstRow="1" w:lastColumn="0" w:lastRow="0" w:noHBand="0" w:noVBand="1" w:val="04A0"/>
      </w:tblPr>
      <w:tblGrid>
        <w:gridCol w:w="5040"/>
        <w:gridCol w:w="5040"/>
      </w:tblGrid>
      <w:tr>
        <w:tc>
          <w:tcPr>
            <w:tcW w:type="dxa" w:w="5040"/>
          </w:tcPr>
          <w:p>
            <w:r>
              <w:t>Fold</w:t>
            </w:r>
          </w:p>
        </w:tc>
        <w:tc>
          <w:tcPr>
            <w:tcW w:type="dxa" w:w="5040"/>
          </w:tcPr>
          <w:p>
            <w:r>
              <w:t>Test period</w:t>
            </w:r>
          </w:p>
        </w:tc>
      </w:tr>
      <w:tr>
        <w:tc>
          <w:tcPr>
            <w:tcW w:type="dxa" w:w="5040"/>
          </w:tcPr>
          <w:p>
            <w:r>
              <w:t>1</w:t>
            </w:r>
          </w:p>
        </w:tc>
        <w:tc>
          <w:tcPr>
            <w:tcW w:type="dxa" w:w="5040"/>
          </w:tcPr>
          <w:p>
            <w:r>
              <w:t>2 May – 8 May 2026</w:t>
            </w:r>
          </w:p>
        </w:tc>
      </w:tr>
      <w:tr>
        <w:tc>
          <w:tcPr>
            <w:tcW w:type="dxa" w:w="5040"/>
          </w:tcPr>
          <w:p>
            <w:r>
              <w:t>2</w:t>
            </w:r>
          </w:p>
        </w:tc>
        <w:tc>
          <w:tcPr>
            <w:tcW w:type="dxa" w:w="5040"/>
          </w:tcPr>
          <w:p>
            <w:r>
              <w:t>9 May – 15 May 2026</w:t>
            </w:r>
          </w:p>
        </w:tc>
      </w:tr>
      <w:tr>
        <w:tc>
          <w:tcPr>
            <w:tcW w:type="dxa" w:w="5040"/>
          </w:tcPr>
          <w:p>
            <w:r>
              <w:t>3</w:t>
            </w:r>
          </w:p>
        </w:tc>
        <w:tc>
          <w:tcPr>
            <w:tcW w:type="dxa" w:w="5040"/>
          </w:tcPr>
          <w:p>
            <w:r>
              <w:t>16 May – 22 May 2026</w:t>
            </w:r>
          </w:p>
        </w:tc>
      </w:tr>
      <w:tr>
        <w:tc>
          <w:tcPr>
            <w:tcW w:type="dxa" w:w="5040"/>
          </w:tcPr>
          <w:p>
            <w:r>
              <w:t>4</w:t>
            </w:r>
          </w:p>
        </w:tc>
        <w:tc>
          <w:tcPr>
            <w:tcW w:type="dxa" w:w="5040"/>
          </w:tcPr>
          <w:p>
            <w:r>
              <w:t>23 May – 29 May 2026</w:t>
            </w:r>
          </w:p>
        </w:tc>
      </w:tr>
    </w:tbl>
    <w:p>
      <w:pPr>
        <w:spacing w:after="100"/>
      </w:pPr>
      <w:r>
        <w:t>This produced 672 out-of-sample hourly predictions and better represents how the model would operate as new observations arrive.</w:t>
      </w:r>
    </w:p>
    <w:p>
      <w:pPr>
        <w:pStyle w:val="Heading1"/>
      </w:pPr>
      <w:r>
        <w:t>9. Forecasting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 (kW)</w:t>
            </w:r>
          </w:p>
        </w:tc>
        <w:tc>
          <w:tcPr>
            <w:tcW w:type="dxa" w:w="2016"/>
          </w:tcPr>
          <w:p>
            <w:r>
              <w:t>RMSE (kW)</w:t>
            </w:r>
          </w:p>
        </w:tc>
        <w:tc>
          <w:tcPr>
            <w:tcW w:type="dxa" w:w="2016"/>
          </w:tcPr>
          <w:p>
            <w:r>
              <w:t>MAPE</w:t>
            </w:r>
          </w:p>
        </w:tc>
        <w:tc>
          <w:tcPr>
            <w:tcW w:type="dxa" w:w="2016"/>
          </w:tcPr>
          <w:p>
            <w:r>
              <w:t>sMAPE</w:t>
            </w:r>
          </w:p>
        </w:tc>
      </w:tr>
      <w:tr>
        <w:tc>
          <w:tcPr>
            <w:tcW w:type="dxa" w:w="2016"/>
          </w:tcPr>
          <w:p>
            <w:r>
              <w:t>24-hour Persistence</w:t>
            </w:r>
          </w:p>
        </w:tc>
        <w:tc>
          <w:tcPr>
            <w:tcW w:type="dxa" w:w="2016"/>
          </w:tcPr>
          <w:p>
            <w:r>
              <w:t>846.30</w:t>
            </w:r>
          </w:p>
        </w:tc>
        <w:tc>
          <w:tcPr>
            <w:tcW w:type="dxa" w:w="2016"/>
          </w:tcPr>
          <w:p>
            <w:r>
              <w:t>1136.77</w:t>
            </w:r>
          </w:p>
        </w:tc>
        <w:tc>
          <w:tcPr>
            <w:tcW w:type="dxa" w:w="2016"/>
          </w:tcPr>
          <w:p>
            <w:r>
              <w:t>165.15%</w:t>
            </w:r>
          </w:p>
        </w:tc>
        <w:tc>
          <w:tcPr>
            <w:tcW w:type="dxa" w:w="2016"/>
          </w:tcPr>
          <w:p>
            <w:r>
              <w:t>60.25%</w:t>
            </w:r>
          </w:p>
        </w:tc>
      </w:tr>
      <w:tr>
        <w:tc>
          <w:tcPr>
            <w:tcW w:type="dxa" w:w="2016"/>
          </w:tcPr>
          <w:p>
            <w:r>
              <w:t>Gradient Boosting</w:t>
            </w:r>
          </w:p>
        </w:tc>
        <w:tc>
          <w:tcPr>
            <w:tcW w:type="dxa" w:w="2016"/>
          </w:tcPr>
          <w:p>
            <w:r>
              <w:t>666.21</w:t>
            </w:r>
          </w:p>
        </w:tc>
        <w:tc>
          <w:tcPr>
            <w:tcW w:type="dxa" w:w="2016"/>
          </w:tcPr>
          <w:p>
            <w:r>
              <w:t>874.42</w:t>
            </w:r>
          </w:p>
        </w:tc>
        <w:tc>
          <w:tcPr>
            <w:tcW w:type="dxa" w:w="2016"/>
          </w:tcPr>
          <w:p>
            <w:r>
              <w:t>130.64%</w:t>
            </w:r>
          </w:p>
        </w:tc>
        <w:tc>
          <w:tcPr>
            <w:tcW w:type="dxa" w:w="2016"/>
          </w:tcPr>
          <w:p>
            <w:r>
              <w:t>47.91%</w:t>
            </w:r>
          </w:p>
        </w:tc>
      </w:tr>
    </w:tbl>
    <w:p>
      <w:pPr>
        <w:spacing w:after="100"/>
      </w:pPr>
      <w:r>
        <w:t>Gradient Boosting reduced MAE by 21.28% and RMSE by 23.08% relative to persistence. The improvement was consistent across all four folds: MAE improvement ranged from 12.88% to 25.80%, while RMSE improvement ranged from 15.25% to 26.88%.</w:t>
      </w:r>
    </w:p>
    <w:p>
      <w:pPr>
        <w:spacing w:after="100"/>
      </w:pPr>
      <w:r>
        <w:t>MAPE was high for both models because percentage-based errors become unstable during low-generation periods. sMAPE was therefore also considered; Gradient Boosting reduced sMAPE from 60.25% to 47.91%.</w:t>
      </w:r>
    </w:p>
    <w:p>
      <w:pPr>
        <w:pStyle w:val="Heading1"/>
      </w:pPr>
      <w:r>
        <w:t>10. Model Interpretation</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Importance</w:t>
            </w:r>
          </w:p>
        </w:tc>
      </w:tr>
      <w:tr>
        <w:tc>
          <w:tcPr>
            <w:tcW w:type="dxa" w:w="5040"/>
          </w:tcPr>
          <w:p>
            <w:r>
              <w:t>lag_48</w:t>
            </w:r>
          </w:p>
        </w:tc>
        <w:tc>
          <w:tcPr>
            <w:tcW w:type="dxa" w:w="5040"/>
          </w:tcPr>
          <w:p>
            <w:r>
              <w:t>0.2507</w:t>
            </w:r>
          </w:p>
        </w:tc>
      </w:tr>
      <w:tr>
        <w:tc>
          <w:tcPr>
            <w:tcW w:type="dxa" w:w="5040"/>
          </w:tcPr>
          <w:p>
            <w:r>
              <w:t>lag_168</w:t>
            </w:r>
          </w:p>
        </w:tc>
        <w:tc>
          <w:tcPr>
            <w:tcW w:type="dxa" w:w="5040"/>
          </w:tcPr>
          <w:p>
            <w:r>
              <w:t>0.2501</w:t>
            </w:r>
          </w:p>
        </w:tc>
      </w:tr>
      <w:tr>
        <w:tc>
          <w:tcPr>
            <w:tcW w:type="dxa" w:w="5040"/>
          </w:tcPr>
          <w:p>
            <w:r>
              <w:t>hour</w:t>
            </w:r>
          </w:p>
        </w:tc>
        <w:tc>
          <w:tcPr>
            <w:tcW w:type="dxa" w:w="5040"/>
          </w:tcPr>
          <w:p>
            <w:r>
              <w:t>0.1566</w:t>
            </w:r>
          </w:p>
        </w:tc>
      </w:tr>
      <w:tr>
        <w:tc>
          <w:tcPr>
            <w:tcW w:type="dxa" w:w="5040"/>
          </w:tcPr>
          <w:p>
            <w:r>
              <w:t>lag_1</w:t>
            </w:r>
          </w:p>
        </w:tc>
        <w:tc>
          <w:tcPr>
            <w:tcW w:type="dxa" w:w="5040"/>
          </w:tcPr>
          <w:p>
            <w:r>
              <w:t>0.1453</w:t>
            </w:r>
          </w:p>
        </w:tc>
      </w:tr>
      <w:tr>
        <w:tc>
          <w:tcPr>
            <w:tcW w:type="dxa" w:w="5040"/>
          </w:tcPr>
          <w:p>
            <w:r>
              <w:t>lag_24</w:t>
            </w:r>
          </w:p>
        </w:tc>
        <w:tc>
          <w:tcPr>
            <w:tcW w:type="dxa" w:w="5040"/>
          </w:tcPr>
          <w:p>
            <w:r>
              <w:t>0.1317</w:t>
            </w:r>
          </w:p>
        </w:tc>
      </w:tr>
      <w:tr>
        <w:tc>
          <w:tcPr>
            <w:tcW w:type="dxa" w:w="5040"/>
          </w:tcPr>
          <w:p>
            <w:r>
              <w:t>rolling_mean_24</w:t>
            </w:r>
          </w:p>
        </w:tc>
        <w:tc>
          <w:tcPr>
            <w:tcW w:type="dxa" w:w="5040"/>
          </w:tcPr>
          <w:p>
            <w:r>
              <w:t>0.0501</w:t>
            </w:r>
          </w:p>
        </w:tc>
      </w:tr>
      <w:tr>
        <w:tc>
          <w:tcPr>
            <w:tcW w:type="dxa" w:w="5040"/>
          </w:tcPr>
          <w:p>
            <w:r>
              <w:t>rolling_std_24</w:t>
            </w:r>
          </w:p>
        </w:tc>
        <w:tc>
          <w:tcPr>
            <w:tcW w:type="dxa" w:w="5040"/>
          </w:tcPr>
          <w:p>
            <w:r>
              <w:t>0.0136</w:t>
            </w:r>
          </w:p>
        </w:tc>
      </w:tr>
      <w:tr>
        <w:tc>
          <w:tcPr>
            <w:tcW w:type="dxa" w:w="5040"/>
          </w:tcPr>
          <w:p>
            <w:r>
              <w:t>day_of_week</w:t>
            </w:r>
          </w:p>
        </w:tc>
        <w:tc>
          <w:tcPr>
            <w:tcW w:type="dxa" w:w="5040"/>
          </w:tcPr>
          <w:p>
            <w:r>
              <w:t>0.0020</w:t>
            </w:r>
          </w:p>
        </w:tc>
      </w:tr>
    </w:tbl>
    <w:p>
      <w:pPr>
        <w:spacing w:after="100"/>
      </w:pPr>
      <w:r>
        <w:t>The strongest predictors were lag_48 and lag_168, followed by hour of day, lag_1 and lag_24. The final-fold forecast captured the broad daily generation pattern but smoothed some sudden generation spikes. Final-fold residuals had a mean of approximately 54 kW and a standard deviation of approximately 930 kW.</w:t>
      </w:r>
    </w:p>
    <w:p>
      <w:pPr>
        <w:pStyle w:val="Heading1"/>
      </w:pPr>
      <w:r>
        <w:t>11. Limitations and Assumptions</w:t>
      </w:r>
    </w:p>
    <w:p>
      <w:pPr>
        <w:pStyle w:val="ListBullet"/>
      </w:pPr>
      <w:r>
        <w:t>The model uses historical generation and calendar features but not numerical weather prediction, so sudden weather-driven changes are difficult to predict.</w:t>
      </w:r>
    </w:p>
    <w:p>
      <w:pPr>
        <w:pStyle w:val="ListBullet"/>
      </w:pPr>
      <w:r>
        <w:t>The supplied dataset is synthetic but intentionally designed to resemble SCADA/market data and contains deliberate data-quality problems.</w:t>
      </w:r>
    </w:p>
    <w:p>
      <w:pPr>
        <w:pStyle w:val="ListBullet"/>
      </w:pPr>
      <w:r>
        <w:t>The sensor corrections were inferred from observed physical relationships and should be confirmed against real turbine instrumentation in production.</w:t>
      </w:r>
    </w:p>
    <w:p>
      <w:pPr>
        <w:pStyle w:val="ListBullet"/>
      </w:pPr>
      <w:r>
        <w:t>The 15-hour telemetry outage was retained as missing rather than imputed as zero.</w:t>
      </w:r>
    </w:p>
    <w:p>
      <w:pPr>
        <w:pStyle w:val="ListBullet"/>
      </w:pPr>
      <w:r>
        <w:t>Ninety days is sufficient for this scoped assignment but is relatively short for learning longer seasonal behaviour.</w:t>
      </w:r>
    </w:p>
    <w:p>
      <w:pPr>
        <w:pStyle w:val="Heading1"/>
      </w:pPr>
      <w:r>
        <w:t>12. Future Improvements</w:t>
      </w:r>
    </w:p>
    <w:p>
      <w:pPr>
        <w:pStyle w:val="ListBullet"/>
      </w:pPr>
      <w:r>
        <w:t>Incorporate forecasted wind speed, wind direction and other weather variables.</w:t>
      </w:r>
    </w:p>
    <w:p>
      <w:pPr>
        <w:pStyle w:val="ListBullet"/>
      </w:pPr>
      <w:r>
        <w:t>Develop probabilistic forecasts with prediction intervals to quantify uncertainty.</w:t>
      </w:r>
    </w:p>
    <w:p>
      <w:pPr>
        <w:pStyle w:val="ListBullet"/>
      </w:pPr>
      <w:r>
        <w:t>Compare Gradient Boosting with XGBoost/LightGBM and seasonal statistical models using the same walk-forward framework.</w:t>
      </w:r>
    </w:p>
    <w:p>
      <w:pPr>
        <w:pStyle w:val="ListBullet"/>
      </w:pPr>
      <w:r>
        <w:t>Automate SCADA quality checks for sensor scaling changes, drift and communication gaps.</w:t>
      </w:r>
    </w:p>
    <w:p>
      <w:pPr>
        <w:pStyle w:val="ListBullet"/>
      </w:pPr>
      <w:r>
        <w:t>Evaluate the forecasting system over a longer period and across different seasons.</w:t>
      </w:r>
    </w:p>
    <w:p>
      <w:pPr>
        <w:pStyle w:val="Heading1"/>
      </w:pPr>
      <w:r>
        <w:t>13. Conclusion</w:t>
      </w:r>
    </w:p>
    <w:p>
      <w:pPr>
        <w:spacing w:after="100"/>
      </w:pPr>
      <w:r>
        <w:t>Part B demonstrated an end-to-end renewable generation forecasting workflow: data-quality investigation, physically informed anomaly correction, fleet aggregation, historical feature engineering, persistence benchmarking, walk-forward validation, Gradient Boosting forecasting, and residual analysis.</w:t>
      </w:r>
    </w:p>
    <w:p>
      <w:pPr>
        <w:spacing w:after="100"/>
      </w:pPr>
      <w:r>
        <w:t>The final Gradient Boosting model achieved an MAE of 666.21 kW and RMSE of 874.42 kW, compared with 846.30 kW and 1,136.77 kW for the 24-hour persistence baseline. This corresponds to overall improvements of 21.28% in MAE and 23.08% in RMSE. The improvement was observed consistently across all four chronological evaluation folds.</w:t>
      </w:r>
    </w:p>
    <w:p>
      <w:pPr>
        <w:pStyle w:val="Heading1"/>
      </w:pPr>
      <w:r>
        <w:t>14. Prior-Art / Reference Reading</w:t>
      </w:r>
    </w:p>
    <w:p>
      <w:pPr>
        <w:pStyle w:val="ListBullet"/>
      </w:pPr>
      <w:r>
        <w:t>Yang et al. (2024), “A Survey on Wind Power Forecasting with Machine Learning Approaches.”</w:t>
      </w:r>
    </w:p>
    <w:p>
      <w:pPr>
        <w:pStyle w:val="ListBullet"/>
      </w:pPr>
      <w:r>
        <w:t>Singh et al. (2021), “A Machine Learning-Based Gradient Boosting Regression Approach for Wind Power Production Forecasting.”</w:t>
      </w:r>
    </w:p>
    <w:p>
      <w:pPr>
        <w:pStyle w:val="ListBullet"/>
      </w:pPr>
      <w:r>
        <w:t>Haq, Kumar &amp; Rathore (2025), “Machine Learning Approaches for Wind Power Forecasting: A Comprehensive Review.”</w:t>
      </w:r>
    </w:p>
    <w:p>
      <w:pPr>
        <w:pStyle w:val="ListBullet"/>
      </w:pPr>
      <w:r>
        <w:t>Bruninx et al. (2026), “Probabilistic Wind Power Forecasting with Tree-Based Machine Learning and Weather Ensembles.”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Part B — Renewable Generation Forecasting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