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0"/>
        </w:rPr>
        <w:t>AI Engineering Take-Home Assignment</w:t>
      </w:r>
    </w:p>
    <w:p>
      <w:pPr>
        <w:jc w:val="center"/>
      </w:pPr>
      <w:r>
        <w:rPr>
          <w:rFonts w:ascii="Calibri" w:hAnsi="Calibri"/>
          <w:b/>
          <w:sz w:val="32"/>
        </w:rPr>
        <w:t>Agent Development &amp; Renewable Energy Forecasting</w:t>
      </w:r>
    </w:p>
    <w:p>
      <w:pPr>
        <w:jc w:val="center"/>
      </w:pPr>
      <w:r>
        <w:rPr>
          <w:rFonts w:ascii="Calibri" w:hAnsi="Calibri"/>
          <w:i/>
          <w:sz w:val="22"/>
        </w:rPr>
        <w:t>Greenko ? Power-to-X Renewable Energy Operations</w:t>
      </w:r>
    </w:p>
    <w:p>
      <w:pPr>
        <w:spacing w:after="100" w:line="259" w:lineRule="auto"/>
      </w:pPr>
      <w:r>
        <w:rPr>
          <w:rFonts w:ascii="Calibri" w:hAnsi="Calibri"/>
          <w:i w:val="0"/>
          <w:sz w:val="21"/>
        </w:rPr>
        <w:t>This submission covers two connected engineering tasks built from the supplied repository artifacts. Part A is a grounded operational assistant over turbine telemetry, DAM prices, and a short compliance rulebook. Part B is a next-day renewable generation forecasting pipeline built from the 90-day telemetry data after notebook-based data-quality investigation and validated cleaning.</w:t>
      </w:r>
    </w:p>
    <w:p>
      <w:pPr>
        <w:pStyle w:val="Heading1"/>
        <w:keepNext/>
        <w:spacing w:before="160" w:after="80"/>
      </w:pPr>
      <w:r>
        <w:rPr>
          <w:rFonts w:ascii="Calibri" w:hAnsi="Calibri"/>
          <w:sz w:val="30"/>
        </w:rPr>
        <w:t>1. Problem Framing</w:t>
      </w:r>
    </w:p>
    <w:p>
      <w:pPr>
        <w:spacing w:after="100" w:line="259" w:lineRule="auto"/>
      </w:pPr>
      <w:r>
        <w:rPr>
          <w:rFonts w:ascii="Calibri" w:hAnsi="Calibri"/>
          <w:i w:val="0"/>
          <w:sz w:val="21"/>
        </w:rPr>
        <w:t>The core problem is to make reliable decisions from imperfect renewable-energy data. In Part A, the assistant answers operator questions about turbine behaviour, market conditions, and RFNBO-style compliance using deterministic data and rulebook tools rather than free-form guessing. In Part B, the workflow turns the cleaned telemetry into a short-horizon next-day forecast so that generation planning can account for daily seasonality, recent history, and the effect of data-quality issues on downstream modelling. The two parts share the same theme: keep the reasoning grounded in the source data and make the final result easy to defend in an interview.</w:t>
      </w:r>
    </w:p>
    <w:p>
      <w:pPr>
        <w:pStyle w:val="Heading1"/>
        <w:keepNext/>
        <w:spacing w:before="160" w:after="80"/>
      </w:pPr>
      <w:r>
        <w:rPr>
          <w:rFonts w:ascii="Calibri" w:hAnsi="Calibri"/>
          <w:sz w:val="30"/>
        </w:rPr>
        <w:t>2. Conceptual Framework</w:t>
      </w:r>
    </w:p>
    <w:p>
      <w:pPr>
        <w:spacing w:after="100" w:line="259" w:lineRule="auto"/>
      </w:pPr>
      <w:r>
        <w:rPr>
          <w:rFonts w:ascii="Calibri" w:hAnsi="Calibri"/>
          <w:i w:val="0"/>
          <w:sz w:val="21"/>
        </w:rPr>
        <w:t>Part A uses deterministic routing to send each question to the smallest tool that can answer it, then uses Groq only to phrase the tool output as a concise response when available. That keeps the system debuggable and reduces the risk of hallucinated calculations or compliance claims.</w:t>
      </w:r>
    </w:p>
    <w:p>
      <w:pPr>
        <w:spacing w:before="40" w:after="80" w:line="228" w:lineRule="auto"/>
        <w:ind w:left="288"/>
      </w:pPr>
      <w:r>
        <w:rPr>
          <w:rFonts w:ascii="Courier New" w:hAnsi="Courier New"/>
          <w:sz w:val="18"/>
        </w:rPr>
        <w:t>User Question</w:t>
        <w:br/>
      </w:r>
      <w:r>
        <w:rPr>
          <w:rFonts w:ascii="Courier New" w:hAnsi="Courier New"/>
          <w:sz w:val="18"/>
        </w:rPr>
        <w:t xml:space="preserve">      ?</w:t>
        <w:br/>
      </w:r>
      <w:r>
        <w:rPr>
          <w:rFonts w:ascii="Courier New" w:hAnsi="Courier New"/>
          <w:sz w:val="18"/>
        </w:rPr>
        <w:t>Deterministic routing in agent.py</w:t>
        <w:br/>
      </w:r>
      <w:r>
        <w:rPr>
          <w:rFonts w:ascii="Courier New" w:hAnsi="Courier New"/>
          <w:sz w:val="18"/>
        </w:rPr>
        <w:t xml:space="preserve">      ?</w:t>
        <w:br/>
      </w:r>
      <w:r>
        <w:rPr>
          <w:rFonts w:ascii="Courier New" w:hAnsi="Courier New"/>
          <w:sz w:val="18"/>
        </w:rPr>
        <w:t>????????????????????????????????????????????????????</w:t>
        <w:br/>
      </w:r>
      <w:r>
        <w:rPr>
          <w:rFonts w:ascii="Courier New" w:hAnsi="Courier New"/>
          <w:sz w:val="18"/>
        </w:rPr>
        <w:t>? Telemetry    ? Calculation    ? Compliance       ?</w:t>
        <w:br/>
      </w:r>
      <w:r>
        <w:rPr>
          <w:rFonts w:ascii="Courier New" w:hAnsi="Courier New"/>
          <w:sz w:val="18"/>
        </w:rPr>
        <w:t>? tools        ? tools          ? rulebook         ?</w:t>
        <w:br/>
      </w:r>
      <w:r>
        <w:rPr>
          <w:rFonts w:ascii="Courier New" w:hAnsi="Courier New"/>
          <w:sz w:val="18"/>
        </w:rPr>
        <w:t>????????????????????????????????????????????????????</w:t>
        <w:br/>
      </w:r>
      <w:r>
        <w:rPr>
          <w:rFonts w:ascii="Courier New" w:hAnsi="Courier New"/>
          <w:sz w:val="18"/>
        </w:rPr>
        <w:t xml:space="preserve">      ?</w:t>
        <w:br/>
      </w:r>
      <w:r>
        <w:rPr>
          <w:rFonts w:ascii="Courier New" w:hAnsi="Courier New"/>
          <w:sz w:val="18"/>
        </w:rPr>
        <w:t>Evidence-based answer (Groq synthesis if enabled)</w:t>
      </w:r>
    </w:p>
    <w:p>
      <w:pPr>
        <w:spacing w:after="100" w:line="259" w:lineRule="auto"/>
      </w:pPr>
      <w:r>
        <w:rPr>
          <w:rFonts w:ascii="Calibri" w:hAnsi="Calibri"/>
          <w:i w:val="0"/>
          <w:sz w:val="21"/>
        </w:rPr>
        <w:t>Part B keeps the EDA in notebooks because the notebook captures the exploratory reasoning chain: what was observed first, what was investigated next, why a turbine or period was suspected, and what evidence justified the correction. The reusable pieces were moved into Python so the forecast can be rerun without manually executing notebook cells.</w:t>
      </w:r>
    </w:p>
    <w:p>
      <w:pPr>
        <w:spacing w:before="40" w:after="80" w:line="228" w:lineRule="auto"/>
        <w:ind w:left="288"/>
      </w:pPr>
      <w:r>
        <w:rPr>
          <w:rFonts w:ascii="Courier New" w:hAnsi="Courier New"/>
          <w:sz w:val="18"/>
        </w:rPr>
        <w:t>Raw telemetry</w:t>
        <w:br/>
      </w:r>
      <w:r>
        <w:rPr>
          <w:rFonts w:ascii="Courier New" w:hAnsi="Courier New"/>
          <w:sz w:val="18"/>
        </w:rPr>
        <w:t xml:space="preserve">      ?</w:t>
        <w:br/>
      </w:r>
      <w:r>
        <w:rPr>
          <w:rFonts w:ascii="Courier New" w:hAnsi="Courier New"/>
          <w:sz w:val="18"/>
        </w:rPr>
        <w:t>EDA / data-quality investigation</w:t>
        <w:br/>
      </w:r>
      <w:r>
        <w:rPr>
          <w:rFonts w:ascii="Courier New" w:hAnsi="Courier New"/>
          <w:sz w:val="18"/>
        </w:rPr>
        <w:t xml:space="preserve">      ?</w:t>
        <w:br/>
      </w:r>
      <w:r>
        <w:rPr>
          <w:rFonts w:ascii="Courier New" w:hAnsi="Courier New"/>
          <w:sz w:val="18"/>
        </w:rPr>
        <w:t>Validated cleaning</w:t>
        <w:br/>
      </w:r>
      <w:r>
        <w:rPr>
          <w:rFonts w:ascii="Courier New" w:hAnsi="Courier New"/>
          <w:sz w:val="18"/>
        </w:rPr>
        <w:t xml:space="preserve">      ?</w:t>
        <w:br/>
      </w:r>
      <w:r>
        <w:rPr>
          <w:rFonts w:ascii="Courier New" w:hAnsi="Courier New"/>
          <w:sz w:val="18"/>
        </w:rPr>
        <w:t>Feature engineering</w:t>
        <w:br/>
      </w:r>
      <w:r>
        <w:rPr>
          <w:rFonts w:ascii="Courier New" w:hAnsi="Courier New"/>
          <w:sz w:val="18"/>
        </w:rPr>
        <w:t xml:space="preserve">      ?</w:t>
        <w:br/>
      </w:r>
      <w:r>
        <w:rPr>
          <w:rFonts w:ascii="Courier New" w:hAnsi="Courier New"/>
          <w:sz w:val="18"/>
        </w:rPr>
        <w:t>Time-aware forecasting</w:t>
        <w:br/>
      </w:r>
      <w:r>
        <w:rPr>
          <w:rFonts w:ascii="Courier New" w:hAnsi="Courier New"/>
          <w:sz w:val="18"/>
        </w:rPr>
        <w:t xml:space="preserve">      ?</w:t>
        <w:br/>
      </w:r>
      <w:r>
        <w:rPr>
          <w:rFonts w:ascii="Courier New" w:hAnsi="Courier New"/>
          <w:sz w:val="18"/>
        </w:rPr>
        <w:t>Baseline + stronger model</w:t>
        <w:br/>
      </w:r>
      <w:r>
        <w:rPr>
          <w:rFonts w:ascii="Courier New" w:hAnsi="Courier New"/>
          <w:sz w:val="18"/>
        </w:rPr>
        <w:t xml:space="preserve">      ?</w:t>
        <w:br/>
      </w:r>
      <w:r>
        <w:rPr>
          <w:rFonts w:ascii="Courier New" w:hAnsi="Courier New"/>
          <w:sz w:val="18"/>
        </w:rPr>
        <w:t>Walk-forward evaluation</w:t>
        <w:br/>
      </w:r>
      <w:r>
        <w:rPr>
          <w:rFonts w:ascii="Courier New" w:hAnsi="Courier New"/>
          <w:sz w:val="18"/>
        </w:rPr>
        <w:t xml:space="preserve">      ?</w:t>
        <w:br/>
      </w:r>
      <w:r>
        <w:rPr>
          <w:rFonts w:ascii="Courier New" w:hAnsi="Courier New"/>
          <w:sz w:val="18"/>
        </w:rPr>
        <w:t>Metrics + model comparison</w:t>
      </w:r>
    </w:p>
    <w:p>
      <w:pPr>
        <w:pStyle w:val="Heading1"/>
        <w:keepNext/>
        <w:spacing w:before="160" w:after="80"/>
      </w:pPr>
      <w:r>
        <w:rPr>
          <w:rFonts w:ascii="Calibri" w:hAnsi="Calibri"/>
          <w:sz w:val="30"/>
        </w:rPr>
        <w:t>3. Part A: Agentic System</w:t>
      </w:r>
    </w:p>
    <w:p>
      <w:pPr>
        <w:spacing w:after="100" w:line="259" w:lineRule="auto"/>
      </w:pPr>
      <w:r>
        <w:rPr>
          <w:rFonts w:ascii="Calibri" w:hAnsi="Calibri"/>
          <w:i w:val="0"/>
          <w:sz w:val="21"/>
        </w:rPr>
        <w:t>The Part A implementation is intentionally small. The data layer reads the supplied 14-day turbine telemetry CSV and the 14-day DAM CSV, parses timestamps, and validates turbine IDs against the expected T01?T05 set. The agent layer in agent.py routes questions with explicit keyword and pattern checks instead of asking the LLM to choose tools freely. The final response is synthesized by ChatGroq (llama-3.3-70b-versatile, temperature 0) from deterministic tool output, or returned directly if no Groq key is available.</w:t>
      </w:r>
    </w:p>
    <w:p>
      <w:pPr>
        <w:spacing w:after="100" w:line="259" w:lineRule="auto"/>
      </w:pPr>
      <w:r>
        <w:rPr>
          <w:rFonts w:ascii="Calibri" w:hAnsi="Calibri"/>
          <w:i w:val="0"/>
          <w:sz w:val="21"/>
        </w:rPr>
        <w:t>The actual tools are narrow and easy to explain: turbine summaries, DAM summaries, turbine capacity factor, first-vs-second-week capacity factor comparison, output comparison on high-DAM-price hours, and compliance-rule lookup. This matches the assignment?s need for evidence-based answers over a small supplied dataset, not a general-purpose agent platform.</w:t>
      </w:r>
    </w:p>
    <w:tbl>
      <w:tblPr>
        <w:tblStyle w:val="TableGrid"/>
        <w:tblW w:type="auto" w:w="0"/>
        <w:tblLook w:firstColumn="1" w:firstRow="1" w:lastColumn="0" w:lastRow="0" w:noHBand="0" w:noVBand="1" w:val="04A0"/>
      </w:tblPr>
      <w:tblGrid>
        <w:gridCol w:w="4873"/>
        <w:gridCol w:w="4873"/>
      </w:tblGrid>
      <w:tr>
        <w:tc>
          <w:tcPr>
            <w:tcW w:type="dxa" w:w="4873"/>
          </w:tcPr>
          <w:p>
            <w:r/>
            <w:r>
              <w:rPr>
                <w:rFonts w:ascii="Calibri" w:hAnsi="Calibri"/>
                <w:b/>
                <w:sz w:val="19"/>
              </w:rPr>
              <w:t>Question type</w:t>
            </w:r>
          </w:p>
        </w:tc>
        <w:tc>
          <w:tcPr>
            <w:tcW w:type="dxa" w:w="4873"/>
          </w:tcPr>
          <w:p>
            <w:r/>
            <w:r>
              <w:rPr>
                <w:rFonts w:ascii="Calibri" w:hAnsi="Calibri"/>
                <w:b/>
                <w:sz w:val="19"/>
              </w:rPr>
              <w:t>Tool path</w:t>
            </w:r>
          </w:p>
        </w:tc>
      </w:tr>
      <w:tr>
        <w:tc>
          <w:tcPr>
            <w:tcW w:type="dxa" w:w="4873"/>
          </w:tcPr>
          <w:p>
            <w:r/>
            <w:r>
              <w:rPr>
                <w:rFonts w:ascii="Calibri" w:hAnsi="Calibri"/>
                <w:b w:val="0"/>
                <w:sz w:val="18"/>
              </w:rPr>
              <w:t>Average power for T01</w:t>
            </w:r>
          </w:p>
        </w:tc>
        <w:tc>
          <w:tcPr>
            <w:tcW w:type="dxa" w:w="4873"/>
          </w:tcPr>
          <w:p>
            <w:r/>
            <w:r>
              <w:rPr>
                <w:rFonts w:ascii="Calibri" w:hAnsi="Calibri"/>
                <w:b w:val="0"/>
                <w:sz w:val="18"/>
              </w:rPr>
              <w:t>get_turbine_summary -&gt; DataQueryTool.turbine_summary</w:t>
            </w:r>
          </w:p>
        </w:tc>
      </w:tr>
      <w:tr>
        <w:tc>
          <w:tcPr>
            <w:tcW w:type="dxa" w:w="4873"/>
          </w:tcPr>
          <w:p>
            <w:r/>
            <w:r>
              <w:rPr>
                <w:rFonts w:ascii="Calibri" w:hAnsi="Calibri"/>
                <w:b w:val="0"/>
                <w:sz w:val="18"/>
              </w:rPr>
              <w:t>Capacity factor for T05</w:t>
            </w:r>
          </w:p>
        </w:tc>
        <w:tc>
          <w:tcPr>
            <w:tcW w:type="dxa" w:w="4873"/>
          </w:tcPr>
          <w:p>
            <w:r/>
            <w:r>
              <w:rPr>
                <w:rFonts w:ascii="Calibri" w:hAnsi="Calibri"/>
                <w:b w:val="0"/>
                <w:sz w:val="18"/>
              </w:rPr>
              <w:t>get_turbine_capacity_factor -&gt; deterministic capacity-factor calculation</w:t>
            </w:r>
          </w:p>
        </w:tc>
      </w:tr>
      <w:tr>
        <w:tc>
          <w:tcPr>
            <w:tcW w:type="dxa" w:w="4873"/>
          </w:tcPr>
          <w:p>
            <w:r/>
            <w:r>
              <w:rPr>
                <w:rFonts w:ascii="Calibri" w:hAnsi="Calibri"/>
                <w:b w:val="0"/>
                <w:sz w:val="18"/>
              </w:rPr>
              <w:t>Average DAM price</w:t>
            </w:r>
          </w:p>
        </w:tc>
        <w:tc>
          <w:tcPr>
            <w:tcW w:type="dxa" w:w="4873"/>
          </w:tcPr>
          <w:p>
            <w:r/>
            <w:r>
              <w:rPr>
                <w:rFonts w:ascii="Calibri" w:hAnsi="Calibri"/>
                <w:b w:val="0"/>
                <w:sz w:val="18"/>
              </w:rPr>
              <w:t>get_dam_summary -&gt; DataQueryTool.dam_summary</w:t>
            </w:r>
          </w:p>
        </w:tc>
      </w:tr>
      <w:tr>
        <w:tc>
          <w:tcPr>
            <w:tcW w:type="dxa" w:w="4873"/>
          </w:tcPr>
          <w:p>
            <w:r/>
            <w:r>
              <w:rPr>
                <w:rFonts w:ascii="Calibri" w:hAnsi="Calibri"/>
                <w:b w:val="0"/>
                <w:sz w:val="18"/>
              </w:rPr>
              <w:t>First vs second week comparison</w:t>
            </w:r>
          </w:p>
        </w:tc>
        <w:tc>
          <w:tcPr>
            <w:tcW w:type="dxa" w:w="4873"/>
          </w:tcPr>
          <w:p>
            <w:r/>
            <w:r>
              <w:rPr>
                <w:rFonts w:ascii="Calibri" w:hAnsi="Calibri"/>
                <w:b w:val="0"/>
                <w:sz w:val="18"/>
              </w:rPr>
              <w:t>compare_weekly_capacity_factor</w:t>
            </w:r>
          </w:p>
        </w:tc>
      </w:tr>
      <w:tr>
        <w:tc>
          <w:tcPr>
            <w:tcW w:type="dxa" w:w="4873"/>
          </w:tcPr>
          <w:p>
            <w:r/>
            <w:r>
              <w:rPr>
                <w:rFonts w:ascii="Calibri" w:hAnsi="Calibri"/>
                <w:b w:val="0"/>
                <w:sz w:val="18"/>
              </w:rPr>
              <w:t>High-DAM-price output comparison</w:t>
            </w:r>
          </w:p>
        </w:tc>
        <w:tc>
          <w:tcPr>
            <w:tcW w:type="dxa" w:w="4873"/>
          </w:tcPr>
          <w:p>
            <w:r/>
            <w:r>
              <w:rPr>
                <w:rFonts w:ascii="Calibri" w:hAnsi="Calibri"/>
                <w:b w:val="0"/>
                <w:sz w:val="18"/>
              </w:rPr>
              <w:t>compare_output_on_high_dam_price</w:t>
            </w:r>
          </w:p>
        </w:tc>
      </w:tr>
      <w:tr>
        <w:tc>
          <w:tcPr>
            <w:tcW w:type="dxa" w:w="4873"/>
          </w:tcPr>
          <w:p>
            <w:r/>
            <w:r>
              <w:rPr>
                <w:rFonts w:ascii="Calibri" w:hAnsi="Calibri"/>
                <w:b w:val="0"/>
                <w:sz w:val="18"/>
              </w:rPr>
              <w:t>RFNBO / temporal correlation question</w:t>
            </w:r>
          </w:p>
        </w:tc>
        <w:tc>
          <w:tcPr>
            <w:tcW w:type="dxa" w:w="4873"/>
          </w:tcPr>
          <w:p>
            <w:r/>
            <w:r>
              <w:rPr>
                <w:rFonts w:ascii="Calibri" w:hAnsi="Calibri"/>
                <w:b w:val="0"/>
                <w:sz w:val="18"/>
              </w:rPr>
              <w:t>lookup_compliance_rule -&gt; RulebookTool.lookup</w:t>
            </w:r>
          </w:p>
        </w:tc>
      </w:tr>
    </w:tbl>
    <w:p>
      <w:pPr>
        <w:spacing w:after="40"/>
      </w:pPr>
    </w:p>
    <w:p>
      <w:pPr>
        <w:spacing w:after="100" w:line="259" w:lineRule="auto"/>
      </w:pPr>
      <w:r>
        <w:rPr>
          <w:rFonts w:ascii="Calibri" w:hAnsi="Calibri"/>
          <w:i w:val="0"/>
          <w:sz w:val="21"/>
        </w:rPr>
        <w:t>Failure handling is explicit. Unknown turbine IDs return a clear invalid/unknown message, empty or unsupported questions are rejected, and unsupported compliance topics return no relevant rule found. The supplied rulebook is the source of truth; the agent does not invent regulatory requirements when the document does not provide them. The tests in part_a/tests/test_tools.py also confirm the intended behaviour, including the T01 summary, T05 capacity factor, DAM summary, and graceful handling of unsupported rulebook topics.</w:t>
      </w:r>
    </w:p>
    <w:p>
      <w:pPr>
        <w:pStyle w:val="Heading1"/>
        <w:keepNext/>
        <w:spacing w:before="160" w:after="80"/>
      </w:pPr>
      <w:r>
        <w:rPr>
          <w:rFonts w:ascii="Calibri" w:hAnsi="Calibri"/>
          <w:sz w:val="30"/>
        </w:rPr>
        <w:t>4. Part B: Data Quality and EDA</w:t>
      </w:r>
    </w:p>
    <w:p>
      <w:pPr>
        <w:spacing w:after="100" w:line="259" w:lineRule="auto"/>
      </w:pPr>
      <w:r>
        <w:rPr>
          <w:rFonts w:ascii="Calibri" w:hAnsi="Calibri"/>
          <w:i w:val="0"/>
          <w:sz w:val="21"/>
        </w:rPr>
        <w:t>The EDA notebook follows a discovery-first sequence rather than starting from the known anomalies. It begins with basic data quality checks and temporal completeness, then moves through distributions, wind-speed versus power relationships, and cross-turbine comparisons before narrowing into temporal anomaly detection and correction validation. That order matters because it shows how the issue was discovered from the data itself.</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sz w:val="19"/>
              </w:rPr>
              <w:t>Issue</w:t>
            </w:r>
          </w:p>
        </w:tc>
        <w:tc>
          <w:tcPr>
            <w:tcW w:type="dxa" w:w="2436"/>
          </w:tcPr>
          <w:p>
            <w:r/>
            <w:r>
              <w:rPr>
                <w:rFonts w:ascii="Calibri" w:hAnsi="Calibri"/>
                <w:b/>
                <w:sz w:val="19"/>
              </w:rPr>
              <w:t>Evidence</w:t>
            </w:r>
          </w:p>
        </w:tc>
        <w:tc>
          <w:tcPr>
            <w:tcW w:type="dxa" w:w="2436"/>
          </w:tcPr>
          <w:p>
            <w:r/>
            <w:r>
              <w:rPr>
                <w:rFonts w:ascii="Calibri" w:hAnsi="Calibri"/>
                <w:b/>
                <w:sz w:val="19"/>
              </w:rPr>
              <w:t>Likely cause</w:t>
            </w:r>
          </w:p>
        </w:tc>
        <w:tc>
          <w:tcPr>
            <w:tcW w:type="dxa" w:w="2436"/>
          </w:tcPr>
          <w:p>
            <w:r/>
            <w:r>
              <w:rPr>
                <w:rFonts w:ascii="Calibri" w:hAnsi="Calibri"/>
                <w:b/>
                <w:sz w:val="19"/>
              </w:rPr>
              <w:t>Treatment</w:t>
            </w:r>
          </w:p>
        </w:tc>
      </w:tr>
      <w:tr>
        <w:tc>
          <w:tcPr>
            <w:tcW w:type="dxa" w:w="2436"/>
          </w:tcPr>
          <w:p>
            <w:r/>
            <w:r>
              <w:rPr>
                <w:rFonts w:ascii="Calibri" w:hAnsi="Calibri"/>
                <w:b w:val="0"/>
                <w:sz w:val="18"/>
              </w:rPr>
              <w:t>Missing hourly turbine combinations</w:t>
            </w:r>
          </w:p>
        </w:tc>
        <w:tc>
          <w:tcPr>
            <w:tcW w:type="dxa" w:w="2436"/>
          </w:tcPr>
          <w:p>
            <w:r/>
            <w:r>
              <w:rPr>
                <w:rFonts w:ascii="Calibri" w:hAnsi="Calibri"/>
                <w:b w:val="0"/>
                <w:sz w:val="18"/>
              </w:rPr>
              <w:t>90-day telemetry has 10,725 rows rather than a fully complete 10,800-row hourly panel</w:t>
            </w:r>
          </w:p>
        </w:tc>
        <w:tc>
          <w:tcPr>
            <w:tcW w:type="dxa" w:w="2436"/>
          </w:tcPr>
          <w:p>
            <w:r/>
            <w:r>
              <w:rPr>
                <w:rFonts w:ascii="Calibri" w:hAnsi="Calibri"/>
                <w:b w:val="0"/>
                <w:sz w:val="18"/>
              </w:rPr>
              <w:t>Incomplete hourly coverage in the supplied history</w:t>
            </w:r>
          </w:p>
        </w:tc>
        <w:tc>
          <w:tcPr>
            <w:tcW w:type="dxa" w:w="2436"/>
          </w:tcPr>
          <w:p>
            <w:r/>
            <w:r>
              <w:rPr>
                <w:rFonts w:ascii="Calibri" w:hAnsi="Calibri"/>
                <w:b w:val="0"/>
                <w:sz w:val="18"/>
              </w:rPr>
              <w:t>Leave the raw data unchanged; do not fabricate values</w:t>
            </w:r>
          </w:p>
        </w:tc>
      </w:tr>
      <w:tr>
        <w:tc>
          <w:tcPr>
            <w:tcW w:type="dxa" w:w="2436"/>
          </w:tcPr>
          <w:p>
            <w:r/>
            <w:r>
              <w:rPr>
                <w:rFonts w:ascii="Calibri" w:hAnsi="Calibri"/>
                <w:b w:val="0"/>
                <w:sz w:val="18"/>
              </w:rPr>
              <w:t>T05 wind-speed anomaly</w:t>
            </w:r>
          </w:p>
        </w:tc>
        <w:tc>
          <w:tcPr>
            <w:tcW w:type="dxa" w:w="2436"/>
          </w:tcPr>
          <w:p>
            <w:r/>
            <w:r>
              <w:rPr>
                <w:rFonts w:ascii="Calibri" w:hAnsi="Calibri"/>
                <w:b w:val="0"/>
                <w:sz w:val="18"/>
              </w:rPr>
              <w:t>T05 distribution and power-curve scatter showed a shifted wind-speed relationship; the notebook estimated a multiplicative factor of about 2.24 over 2026-03-26 to 2026-04-04 23:00</w:t>
            </w:r>
          </w:p>
        </w:tc>
        <w:tc>
          <w:tcPr>
            <w:tcW w:type="dxa" w:w="2436"/>
          </w:tcPr>
          <w:p>
            <w:r/>
            <w:r>
              <w:rPr>
                <w:rFonts w:ascii="Calibri" w:hAnsi="Calibri"/>
                <w:b w:val="0"/>
                <w:sz w:val="18"/>
              </w:rPr>
              <w:t>Sensor scaling / unit issue</w:t>
            </w:r>
          </w:p>
        </w:tc>
        <w:tc>
          <w:tcPr>
            <w:tcW w:type="dxa" w:w="2436"/>
          </w:tcPr>
          <w:p>
            <w:r/>
            <w:r>
              <w:rPr>
                <w:rFonts w:ascii="Calibri" w:hAnsi="Calibri"/>
                <w:b w:val="0"/>
                <w:sz w:val="18"/>
              </w:rPr>
              <w:t>Create wind_speed_clean by scaling only the affected window in the processed copy</w:t>
            </w:r>
          </w:p>
        </w:tc>
      </w:tr>
      <w:tr>
        <w:tc>
          <w:tcPr>
            <w:tcW w:type="dxa" w:w="2436"/>
          </w:tcPr>
          <w:p>
            <w:r/>
            <w:r>
              <w:rPr>
                <w:rFonts w:ascii="Calibri" w:hAnsi="Calibri"/>
                <w:b w:val="0"/>
                <w:sz w:val="18"/>
              </w:rPr>
              <w:t>T03 power anomaly</w:t>
            </w:r>
          </w:p>
        </w:tc>
        <w:tc>
          <w:tcPr>
            <w:tcW w:type="dxa" w:w="2436"/>
          </w:tcPr>
          <w:p>
            <w:r/>
            <w:r>
              <w:rPr>
                <w:rFonts w:ascii="Calibri" w:hAnsi="Calibri"/>
                <w:b w:val="0"/>
                <w:sz w:val="18"/>
              </w:rPr>
              <w:t>A distinct anomalous period appeared in temporal and physical-relationship checks over 2026-05-04 to 2026-05-11 23:00</w:t>
            </w:r>
          </w:p>
        </w:tc>
        <w:tc>
          <w:tcPr>
            <w:tcW w:type="dxa" w:w="2436"/>
          </w:tcPr>
          <w:p>
            <w:r/>
            <w:r>
              <w:rPr>
                <w:rFonts w:ascii="Calibri" w:hAnsi="Calibri"/>
                <w:b w:val="0"/>
                <w:sz w:val="18"/>
              </w:rPr>
              <w:t>Power-measurement anomaly that could not be safely rescaled</w:t>
            </w:r>
          </w:p>
        </w:tc>
        <w:tc>
          <w:tcPr>
            <w:tcW w:type="dxa" w:w="2436"/>
          </w:tcPr>
          <w:p>
            <w:r/>
            <w:r>
              <w:rPr>
                <w:rFonts w:ascii="Calibri" w:hAnsi="Calibri"/>
                <w:b w:val="0"/>
                <w:sz w:val="18"/>
              </w:rPr>
              <w:t>Flag the period with power_anomaly_flag and keep the measured power values</w:t>
            </w:r>
          </w:p>
        </w:tc>
      </w:tr>
    </w:tbl>
    <w:p>
      <w:pPr>
        <w:spacing w:after="40"/>
      </w:pPr>
    </w:p>
    <w:p>
      <w:pPr>
        <w:spacing w:after="100" w:line="259" w:lineRule="auto"/>
      </w:pPr>
      <w:r>
        <w:rPr>
          <w:rFonts w:ascii="Calibri" w:hAnsi="Calibri"/>
          <w:i w:val="0"/>
          <w:sz w:val="21"/>
        </w:rPr>
        <w:t>The final cleaned dataset is saved as data_pack/turbine_90_cleaned.csv and preserves the original raw columns plus wind_speed_clean, power_anomaly_flag, and power_kw_clean. That separation keeps the investigation reproducible while preventing the raw telemetry from being overwritten.</w:t>
      </w:r>
    </w:p>
    <w:p>
      <w:pPr>
        <w:pStyle w:val="Heading1"/>
        <w:keepNext/>
        <w:spacing w:before="160" w:after="80"/>
      </w:pPr>
      <w:r>
        <w:rPr>
          <w:rFonts w:ascii="Calibri" w:hAnsi="Calibri"/>
          <w:sz w:val="30"/>
        </w:rPr>
        <w:t>5. Part B: Forecasting</w:t>
      </w:r>
    </w:p>
    <w:p>
      <w:pPr>
        <w:spacing w:after="100" w:line="259" w:lineRule="auto"/>
      </w:pPr>
      <w:r>
        <w:rPr>
          <w:rFonts w:ascii="Calibri" w:hAnsi="Calibri"/>
          <w:i w:val="0"/>
          <w:sz w:val="21"/>
        </w:rPr>
        <w:t>The forecasting target is hourly fleet total_power_kw, built by summing power_kw_clean across turbines. The horizon is next-day generation in a time-aware sense: the model is evaluated on hourly steps, with the evaluation window organised into four consecutive 7-day walk-forward folds across the last 28 complete days. This is a forecasting problem, so random train/test splitting would leak future information into training and would not reflect how the model would be used operationally.</w:t>
      </w:r>
    </w:p>
    <w:p>
      <w:pPr>
        <w:spacing w:after="100" w:line="259" w:lineRule="auto"/>
      </w:pPr>
      <w:r>
        <w:rPr>
          <w:rFonts w:ascii="Calibri" w:hAnsi="Calibri"/>
          <w:i w:val="0"/>
          <w:sz w:val="21"/>
        </w:rPr>
        <w:t>The baseline is 24-hour persistence, implemented as the previous day?s value for the same hour. The stronger model is GradientBoostingRegressor with the exact notebook hyperparameters: n_estimators=100, learning_rate=0.05, max_depth=3, random_state=42. The feature set is deliberately small and matches the notebook: lag_1, lag_24, lag_48, lag_168, rolling_mean_24, rolling_std_24, hour, and day_of_week. The calendar and lag features are safe because they use only past information available at forecast time.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sz w:val="19"/>
              </w:rPr>
              <w:t>Model</w:t>
            </w:r>
          </w:p>
        </w:tc>
        <w:tc>
          <w:tcPr>
            <w:tcW w:type="dxa" w:w="1949"/>
          </w:tcPr>
          <w:p>
            <w:r/>
            <w:r>
              <w:rPr>
                <w:rFonts w:ascii="Calibri" w:hAnsi="Calibri"/>
                <w:b/>
                <w:sz w:val="19"/>
              </w:rPr>
              <w:t>MAE</w:t>
            </w:r>
          </w:p>
        </w:tc>
        <w:tc>
          <w:tcPr>
            <w:tcW w:type="dxa" w:w="1949"/>
          </w:tcPr>
          <w:p>
            <w:r/>
            <w:r>
              <w:rPr>
                <w:rFonts w:ascii="Calibri" w:hAnsi="Calibri"/>
                <w:b/>
                <w:sz w:val="19"/>
              </w:rPr>
              <w:t>RMSE</w:t>
            </w:r>
          </w:p>
        </w:tc>
        <w:tc>
          <w:tcPr>
            <w:tcW w:type="dxa" w:w="1949"/>
          </w:tcPr>
          <w:p>
            <w:r/>
            <w:r>
              <w:rPr>
                <w:rFonts w:ascii="Calibri" w:hAnsi="Calibri"/>
                <w:b/>
                <w:sz w:val="19"/>
              </w:rPr>
              <w:t>MAPE</w:t>
            </w:r>
          </w:p>
        </w:tc>
        <w:tc>
          <w:tcPr>
            <w:tcW w:type="dxa" w:w="1949"/>
          </w:tcPr>
          <w:p>
            <w:r/>
            <w:r>
              <w:rPr>
                <w:rFonts w:ascii="Calibri" w:hAnsi="Calibri"/>
                <w:b/>
                <w:sz w:val="19"/>
              </w:rPr>
              <w:t>sMAPE</w:t>
            </w:r>
          </w:p>
        </w:tc>
      </w:tr>
      <w:tr>
        <w:tc>
          <w:tcPr>
            <w:tcW w:type="dxa" w:w="1949"/>
          </w:tcPr>
          <w:p>
            <w:r/>
            <w:r>
              <w:rPr>
                <w:rFonts w:ascii="Calibri" w:hAnsi="Calibri"/>
                <w:b w:val="0"/>
                <w:sz w:val="18"/>
              </w:rPr>
              <w:t>24-hour Persistence</w:t>
            </w:r>
          </w:p>
        </w:tc>
        <w:tc>
          <w:tcPr>
            <w:tcW w:type="dxa" w:w="1949"/>
          </w:tcPr>
          <w:p>
            <w:r/>
            <w:r>
              <w:rPr>
                <w:rFonts w:ascii="Calibri" w:hAnsi="Calibri"/>
                <w:b w:val="0"/>
                <w:sz w:val="18"/>
              </w:rPr>
              <w:t>846.2997023809525</w:t>
            </w:r>
          </w:p>
        </w:tc>
        <w:tc>
          <w:tcPr>
            <w:tcW w:type="dxa" w:w="1949"/>
          </w:tcPr>
          <w:p>
            <w:r/>
            <w:r>
              <w:rPr>
                <w:rFonts w:ascii="Calibri" w:hAnsi="Calibri"/>
                <w:b w:val="0"/>
                <w:sz w:val="18"/>
              </w:rPr>
              <w:t>1136.7739577077841</w:t>
            </w:r>
          </w:p>
        </w:tc>
        <w:tc>
          <w:tcPr>
            <w:tcW w:type="dxa" w:w="1949"/>
          </w:tcPr>
          <w:p>
            <w:r/>
            <w:r>
              <w:rPr>
                <w:rFonts w:ascii="Calibri" w:hAnsi="Calibri"/>
                <w:b w:val="0"/>
                <w:sz w:val="18"/>
              </w:rPr>
              <w:t>165.15437163122942</w:t>
            </w:r>
          </w:p>
        </w:tc>
        <w:tc>
          <w:tcPr>
            <w:tcW w:type="dxa" w:w="1949"/>
          </w:tcPr>
          <w:p>
            <w:r/>
            <w:r>
              <w:rPr>
                <w:rFonts w:ascii="Calibri" w:hAnsi="Calibri"/>
                <w:b w:val="0"/>
                <w:sz w:val="18"/>
              </w:rPr>
              <w:t>60.245313363514796</w:t>
            </w:r>
          </w:p>
        </w:tc>
      </w:tr>
      <w:tr>
        <w:tc>
          <w:tcPr>
            <w:tcW w:type="dxa" w:w="1949"/>
          </w:tcPr>
          <w:p>
            <w:r/>
            <w:r>
              <w:rPr>
                <w:rFonts w:ascii="Calibri" w:hAnsi="Calibri"/>
                <w:b w:val="0"/>
                <w:sz w:val="18"/>
              </w:rPr>
              <w:t>Gradient Boosting</w:t>
            </w:r>
          </w:p>
        </w:tc>
        <w:tc>
          <w:tcPr>
            <w:tcW w:type="dxa" w:w="1949"/>
          </w:tcPr>
          <w:p>
            <w:r/>
            <w:r>
              <w:rPr>
                <w:rFonts w:ascii="Calibri" w:hAnsi="Calibri"/>
                <w:b w:val="0"/>
                <w:sz w:val="18"/>
              </w:rPr>
              <w:t>666.2118633708275</w:t>
            </w:r>
          </w:p>
        </w:tc>
        <w:tc>
          <w:tcPr>
            <w:tcW w:type="dxa" w:w="1949"/>
          </w:tcPr>
          <w:p>
            <w:r/>
            <w:r>
              <w:rPr>
                <w:rFonts w:ascii="Calibri" w:hAnsi="Calibri"/>
                <w:b w:val="0"/>
                <w:sz w:val="18"/>
              </w:rPr>
              <w:t>874.415872423686</w:t>
            </w:r>
          </w:p>
        </w:tc>
        <w:tc>
          <w:tcPr>
            <w:tcW w:type="dxa" w:w="1949"/>
          </w:tcPr>
          <w:p>
            <w:r/>
            <w:r>
              <w:rPr>
                <w:rFonts w:ascii="Calibri" w:hAnsi="Calibri"/>
                <w:b w:val="0"/>
                <w:sz w:val="18"/>
              </w:rPr>
              <w:t>130.6448320787672</w:t>
            </w:r>
          </w:p>
        </w:tc>
        <w:tc>
          <w:tcPr>
            <w:tcW w:type="dxa" w:w="1949"/>
          </w:tcPr>
          <w:p>
            <w:r/>
            <w:r>
              <w:rPr>
                <w:rFonts w:ascii="Calibri" w:hAnsi="Calibri"/>
                <w:b w:val="0"/>
                <w:sz w:val="18"/>
              </w:rPr>
              <w:t>47.91270142873522</w:t>
            </w:r>
          </w:p>
        </w:tc>
      </w:tr>
    </w:tbl>
    <w:p>
      <w:pPr>
        <w:spacing w:after="40"/>
      </w:pPr>
    </w:p>
    <w:p>
      <w:pPr>
        <w:spacing w:after="100" w:line="259" w:lineRule="auto"/>
      </w:pPr>
      <w:r>
        <w:rPr>
          <w:rFonts w:ascii="Calibri" w:hAnsi="Calibri"/>
          <w:i w:val="0"/>
          <w:sz w:val="21"/>
        </w:rPr>
        <w:t>The stronger model beats the persistence baseline on every reported metric, which is the right outcome for a useful forecasting model. The absolute errors are still large enough to show that the problem is noisy and sensitive to data-quality issues, but the improvement is meaningful and stable across the walk-forward folds. The pipeline saves the cleaned data, fold metrics, forecast results, and comparison table into data_pack/ so the run can be reproduced from the repository root with python -m part_b.run_forecasting.</w:t>
      </w:r>
    </w:p>
    <w:p>
      <w:pPr>
        <w:pStyle w:val="Heading1"/>
        <w:keepNext/>
        <w:spacing w:before="160" w:after="80"/>
      </w:pPr>
      <w:r>
        <w:rPr>
          <w:rFonts w:ascii="Calibri" w:hAnsi="Calibri"/>
          <w:sz w:val="30"/>
        </w:rPr>
        <w:t>6. Brief Prior-Art Scan</w:t>
      </w:r>
    </w:p>
    <w:tbl>
      <w:tblPr>
        <w:tblStyle w:val="TableGrid"/>
        <w:tblW w:type="auto" w:w="0"/>
        <w:tblLook w:firstColumn="1" w:firstRow="1" w:lastColumn="0" w:lastRow="0" w:noHBand="0" w:noVBand="1" w:val="04A0"/>
      </w:tblPr>
      <w:tblGrid>
        <w:gridCol w:w="4873"/>
        <w:gridCol w:w="4873"/>
      </w:tblGrid>
      <w:tr>
        <w:tc>
          <w:tcPr>
            <w:tcW w:type="dxa" w:w="4873"/>
          </w:tcPr>
          <w:p>
            <w:r/>
            <w:r>
              <w:rPr>
                <w:rFonts w:ascii="Calibri" w:hAnsi="Calibri"/>
                <w:b/>
                <w:sz w:val="19"/>
              </w:rPr>
              <w:t>Source</w:t>
            </w:r>
          </w:p>
        </w:tc>
        <w:tc>
          <w:tcPr>
            <w:tcW w:type="dxa" w:w="4873"/>
          </w:tcPr>
          <w:p>
            <w:r/>
            <w:r>
              <w:rPr>
                <w:rFonts w:ascii="Calibri" w:hAnsi="Calibri"/>
                <w:b/>
                <w:sz w:val="19"/>
              </w:rPr>
              <w:t>Why it matters here</w:t>
            </w:r>
          </w:p>
        </w:tc>
      </w:tr>
      <w:tr>
        <w:tc>
          <w:tcPr>
            <w:tcW w:type="dxa" w:w="4873"/>
          </w:tcPr>
          <w:p>
            <w:r/>
            <w:r>
              <w:rPr>
                <w:rFonts w:ascii="Calibri" w:hAnsi="Calibri"/>
                <w:b w:val="0"/>
                <w:sz w:val="18"/>
              </w:rPr>
              <w:t>Hyndman &amp; Athanasopoulos, Forecasting: Principles and Practice (3rd ed., OTexts, 2021; online edition updated 2026)</w:t>
            </w:r>
          </w:p>
        </w:tc>
        <w:tc>
          <w:tcPr>
            <w:tcW w:type="dxa" w:w="4873"/>
          </w:tcPr>
          <w:p>
            <w:r/>
            <w:r>
              <w:rPr>
                <w:rFonts w:ascii="Calibri" w:hAnsi="Calibri"/>
                <w:b w:val="0"/>
                <w:sz w:val="18"/>
              </w:rPr>
              <w:t>Useful background for time-series EDA, naive baselines, and practical forecasting workflow. https://otexts.com/fpp3/</w:t>
            </w:r>
          </w:p>
        </w:tc>
      </w:tr>
      <w:tr>
        <w:tc>
          <w:tcPr>
            <w:tcW w:type="dxa" w:w="4873"/>
          </w:tcPr>
          <w:p>
            <w:r/>
            <w:r>
              <w:rPr>
                <w:rFonts w:ascii="Calibri" w:hAnsi="Calibri"/>
                <w:b w:val="0"/>
                <w:sz w:val="18"/>
              </w:rPr>
              <w:t>scikit-learn documentation for TimeSeriesSplit (scikit-learn developers)</w:t>
            </w:r>
          </w:p>
        </w:tc>
        <w:tc>
          <w:tcPr>
            <w:tcW w:type="dxa" w:w="4873"/>
          </w:tcPr>
          <w:p>
            <w:r/>
            <w:r>
              <w:rPr>
                <w:rFonts w:ascii="Calibri" w:hAnsi="Calibri"/>
                <w:b w:val="0"/>
                <w:sz w:val="18"/>
              </w:rPr>
              <w:t>Confirms why time-ordered validation is different from standard cross-validation and why expanding train sets are appropriate for forecasting. https://scikit-learn.org/stable/modules/generated/sklearn.model_selection.TimeSeriesSplit.html</w:t>
            </w:r>
          </w:p>
        </w:tc>
      </w:tr>
      <w:tr>
        <w:tc>
          <w:tcPr>
            <w:tcW w:type="dxa" w:w="4873"/>
          </w:tcPr>
          <w:p>
            <w:r/>
            <w:r>
              <w:rPr>
                <w:rFonts w:ascii="Calibri" w:hAnsi="Calibri"/>
                <w:b w:val="0"/>
                <w:sz w:val="18"/>
              </w:rPr>
              <w:t>Yao et al., ReAct: Synergizing Reasoning and Acting in Language Models (2023)</w:t>
            </w:r>
          </w:p>
        </w:tc>
        <w:tc>
          <w:tcPr>
            <w:tcW w:type="dxa" w:w="4873"/>
          </w:tcPr>
          <w:p>
            <w:r/>
            <w:r>
              <w:rPr>
                <w:rFonts w:ascii="Calibri" w:hAnsi="Calibri"/>
                <w:b w:val="0"/>
                <w:sz w:val="18"/>
              </w:rPr>
              <w:t>Provides conceptual background for tool-using language-model systems that interleave reasoning with external actions. https://arxiv.org/abs/2210.03629</w:t>
            </w:r>
          </w:p>
        </w:tc>
      </w:tr>
    </w:tbl>
    <w:p>
      <w:pPr>
        <w:spacing w:after="40"/>
      </w:pPr>
    </w:p>
    <w:p>
      <w:pPr>
        <w:spacing w:after="100" w:line="259" w:lineRule="auto"/>
      </w:pPr>
      <w:r>
        <w:rPr>
          <w:rFonts w:ascii="Calibri" w:hAnsi="Calibri"/>
          <w:i w:val="0"/>
          <w:sz w:val="21"/>
        </w:rPr>
        <w:t>These references are background only. The actual implementation in this repository stays simpler: deterministic routing for Part A, notebook-grounded cleaning for Part B, and standard gradient boosting for the stronger forecast model.</w:t>
      </w:r>
    </w:p>
    <w:p>
      <w:pPr>
        <w:pStyle w:val="Heading1"/>
        <w:keepNext/>
        <w:spacing w:before="160" w:after="80"/>
      </w:pPr>
      <w:r>
        <w:rPr>
          <w:rFonts w:ascii="Calibri" w:hAnsi="Calibri"/>
          <w:sz w:val="30"/>
        </w:rPr>
        <w:t>7. Assumptions and Limitations</w:t>
      </w:r>
    </w:p>
    <w:p>
      <w:pPr>
        <w:pStyle w:val="ListBullet"/>
        <w:spacing w:after="40" w:line="252" w:lineRule="auto"/>
      </w:pPr>
      <w:r>
        <w:rPr>
          <w:rFonts w:ascii="Calibri" w:hAnsi="Calibri"/>
          <w:sz w:val="21"/>
        </w:rPr>
        <w:t>Part A is limited to the supplied 14-day telemetry, DAM series, and short rulebook; it is not a general operational QA system.</w:t>
      </w:r>
    </w:p>
    <w:p>
      <w:pPr>
        <w:pStyle w:val="ListBullet"/>
        <w:spacing w:after="40" w:line="252" w:lineRule="auto"/>
      </w:pPr>
      <w:r>
        <w:rPr>
          <w:rFonts w:ascii="Calibri" w:hAnsi="Calibri"/>
          <w:sz w:val="21"/>
        </w:rPr>
        <w:t>The agent uses deterministic routing rather than open-ended tool planning, which is safer for this assignment but less flexible than a production assistant.</w:t>
      </w:r>
    </w:p>
    <w:p>
      <w:pPr>
        <w:pStyle w:val="ListBullet"/>
        <w:spacing w:after="40" w:line="252" w:lineRule="auto"/>
      </w:pPr>
      <w:r>
        <w:rPr>
          <w:rFonts w:ascii="Calibri" w:hAnsi="Calibri"/>
          <w:sz w:val="21"/>
        </w:rPr>
        <w:t>Part B is limited to the supplied 90-day history, so the forecast is evaluated only on that period and does not address long-term drift or seasonality beyond the sample.</w:t>
      </w:r>
    </w:p>
    <w:p>
      <w:pPr>
        <w:pStyle w:val="ListBullet"/>
        <w:spacing w:after="40" w:line="252" w:lineRule="auto"/>
      </w:pPr>
      <w:r>
        <w:rPr>
          <w:rFonts w:ascii="Calibri" w:hAnsi="Calibri"/>
          <w:sz w:val="21"/>
        </w:rPr>
        <w:t>The cleaned dataset preserves the notebook?s validated corrections but does not attempt to infer missing hourly turbine combinations or replace the raw history.</w:t>
      </w:r>
    </w:p>
    <w:p>
      <w:pPr>
        <w:pStyle w:val="ListBullet"/>
        <w:spacing w:after="40" w:line="252" w:lineRule="auto"/>
      </w:pPr>
      <w:r>
        <w:rPr>
          <w:rFonts w:ascii="Calibri" w:hAnsi="Calibri"/>
          <w:sz w:val="21"/>
        </w:rPr>
        <w:t>The model family is intentionally simple. It is good enough for the assignment, but it is not a full production forecasting stack.</w:t>
      </w:r>
    </w:p>
    <w:p>
      <w:pPr>
        <w:pStyle w:val="Heading1"/>
        <w:keepNext/>
        <w:spacing w:before="160" w:after="80"/>
      </w:pPr>
      <w:r>
        <w:rPr>
          <w:rFonts w:ascii="Calibri" w:hAnsi="Calibri"/>
          <w:sz w:val="30"/>
        </w:rPr>
        <w:t>8. What I Would Do With More Time</w:t>
      </w:r>
    </w:p>
    <w:p>
      <w:pPr>
        <w:pStyle w:val="ListBullet"/>
        <w:spacing w:after="40" w:line="252" w:lineRule="auto"/>
      </w:pPr>
      <w:r>
        <w:rPr>
          <w:rFonts w:ascii="Calibri" w:hAnsi="Calibri"/>
          <w:sz w:val="21"/>
        </w:rPr>
        <w:t>Add richer routing tests and conversation traces for Part A so the question-to-tool mapping can be checked automatically.</w:t>
      </w:r>
    </w:p>
    <w:p>
      <w:pPr>
        <w:pStyle w:val="ListBullet"/>
        <w:spacing w:after="40" w:line="252" w:lineRule="auto"/>
      </w:pPr>
      <w:r>
        <w:rPr>
          <w:rFonts w:ascii="Calibri" w:hAnsi="Calibri"/>
          <w:sz w:val="21"/>
        </w:rPr>
        <w:t>Expand the compliance layer with more structured document parsing if the rulebook grows beyond a short deterministic lookup.</w:t>
      </w:r>
    </w:p>
    <w:p>
      <w:pPr>
        <w:pStyle w:val="ListBullet"/>
        <w:spacing w:after="40" w:line="252" w:lineRule="auto"/>
      </w:pPr>
      <w:r>
        <w:rPr>
          <w:rFonts w:ascii="Calibri" w:hAnsi="Calibri"/>
          <w:sz w:val="21"/>
        </w:rPr>
        <w:t>Try probabilistic forecasting or prediction intervals so operators can see uncertainty, not just point forecasts.</w:t>
      </w:r>
    </w:p>
    <w:p>
      <w:pPr>
        <w:pStyle w:val="ListBullet"/>
        <w:spacing w:after="40" w:line="252" w:lineRule="auto"/>
      </w:pPr>
      <w:r>
        <w:rPr>
          <w:rFonts w:ascii="Calibri" w:hAnsi="Calibri"/>
          <w:sz w:val="21"/>
        </w:rPr>
        <w:t>Add data-quality monitoring and drift checks so the cleaning assumptions can be revalidated when new telemetry arrives.</w:t>
      </w:r>
    </w:p>
    <w:p>
      <w:pPr>
        <w:pStyle w:val="ListBullet"/>
        <w:spacing w:after="40" w:line="252" w:lineRule="auto"/>
      </w:pPr>
      <w:r>
        <w:rPr>
          <w:rFonts w:ascii="Calibri" w:hAnsi="Calibri"/>
          <w:sz w:val="21"/>
        </w:rPr>
        <w:t>Compare the current gradient-boosting model with a small set of alternative time-series models, while keeping the same walk-forward evaluation.</w:t>
      </w:r>
    </w:p>
    <w:p>
      <w:pPr>
        <w:pStyle w:val="Heading1"/>
        <w:keepNext/>
        <w:spacing w:before="160" w:after="80"/>
      </w:pPr>
      <w:r>
        <w:rPr>
          <w:rFonts w:ascii="Calibri" w:hAnsi="Calibri"/>
          <w:sz w:val="30"/>
        </w:rPr>
        <w:t>9. Conclusion</w:t>
      </w:r>
    </w:p>
    <w:p>
      <w:pPr>
        <w:spacing w:after="100" w:line="259" w:lineRule="auto"/>
      </w:pPr>
      <w:r>
        <w:rPr>
          <w:rFonts w:ascii="Calibri" w:hAnsi="Calibri"/>
          <w:i w:val="0"/>
          <w:sz w:val="21"/>
        </w:rPr>
        <w:t>Part A shows grounded agentic reasoning over operational, market, and compliance data, with deterministic tools providing the numerical and rule-based evidence. Part B shows the more traditional forecasting workflow: inspect the data carefully, fix only validated issues, build safe lagged features, and evaluate with time-aware splits. Across both parts, the main engineering theme is the same: make decisions from imperfect operational data without losing traceability.</w:t>
      </w:r>
    </w:p>
    <w:sectPr w:rsidR="00FC693F" w:rsidRPr="0006063C" w:rsidSect="00034616">
      <w:footerReference w:type="default" r:id="rId9"/>
      <w:pgSz w:w="11906" w:h="16838"/>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