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Global Finance Corp Information Security Governance Policy. 1. Security Governance: The executive board oversees all risk assessments. 2. Access Controls: Administrator access requires mandatory Multi-Factor Authentication (MFA) and 2FA logins. 3. Key Management: Cryptographic keys must be rotated every 90 days.</w:t>
      </w:r>
    </w:p>
  </w:body>
</w:document>
</file>