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B57FE" w:rsidRPr="00D60E63" w:rsidRDefault="003C2211">
      <w:pPr>
        <w:spacing w:after="80"/>
        <w:jc w:val="center"/>
        <w:rPr>
          <w:sz w:val="32"/>
          <w:szCs w:val="32"/>
        </w:rPr>
      </w:pPr>
      <w:proofErr w:type="spellStart"/>
      <w:r w:rsidRPr="00D60E63">
        <w:rPr>
          <w:b/>
          <w:bCs/>
          <w:color w:val="1B365D"/>
          <w:sz w:val="32"/>
          <w:szCs w:val="32"/>
        </w:rPr>
        <w:t>OptiCrop</w:t>
      </w:r>
      <w:proofErr w:type="spellEnd"/>
      <w:r w:rsidRPr="00D60E63">
        <w:rPr>
          <w:b/>
          <w:bCs/>
          <w:color w:val="1B365D"/>
          <w:sz w:val="32"/>
          <w:szCs w:val="32"/>
        </w:rPr>
        <w:t>: Smart Agricultural Production Optimization Engine</w:t>
      </w:r>
    </w:p>
    <w:p w14:paraId="00000004" w14:textId="77777777" w:rsidR="001B57FE" w:rsidRDefault="003C2211">
      <w:pPr>
        <w:keepNext/>
        <w:spacing w:before="360" w:after="120"/>
      </w:pPr>
      <w:r w:rsidRPr="00D60E63">
        <w:rPr>
          <w:b/>
          <w:bCs/>
          <w:color w:val="1B365D"/>
        </w:rPr>
        <w:t>1.</w:t>
      </w:r>
      <w:r>
        <w:rPr>
          <w:b/>
          <w:bCs/>
          <w:color w:val="1B365D"/>
          <w:sz w:val="32"/>
          <w:szCs w:val="32"/>
        </w:rPr>
        <w:t xml:space="preserve"> </w:t>
      </w:r>
      <w:r w:rsidRPr="00D60E63">
        <w:rPr>
          <w:b/>
          <w:bCs/>
          <w:color w:val="1B365D"/>
        </w:rPr>
        <w:t>Overview &amp; Project Objectives</w:t>
      </w:r>
    </w:p>
    <w:p w14:paraId="00000005" w14:textId="77777777" w:rsidR="001B57FE" w:rsidRDefault="003C2211">
      <w:pPr>
        <w:spacing w:after="160"/>
        <w:jc w:val="both"/>
      </w:pPr>
      <w:r>
        <w:t xml:space="preserve">The primary objective of this initial phase is to systematically identify, formulate, and comprehend the specific core business and operational challenges addressed by the </w:t>
      </w:r>
      <w:proofErr w:type="spellStart"/>
      <w:r>
        <w:t>OptiCrop</w:t>
      </w:r>
      <w:proofErr w:type="spellEnd"/>
      <w:r>
        <w:t xml:space="preserve"> engine. In modern agricultural practice, optimization stands as an imperative requirement to ensure food security, commercial viability, and ecological equilibrium. The platform is strategically engineered to offer data-driven, mathematically sound recommendations, serving as an advanced decision-support architecture for automated crop recommendation, resource management, and risk mitigation.</w:t>
      </w:r>
    </w:p>
    <w:p w14:paraId="2DECBDE3" w14:textId="77777777" w:rsidR="00D60E63" w:rsidRDefault="003C2211" w:rsidP="00D60E63">
      <w:pPr>
        <w:spacing w:after="160"/>
        <w:jc w:val="both"/>
      </w:pPr>
      <w:r>
        <w:t>By establishing a highly contextualized analytics infrastructure, the system bridges the technical gap between complex ambient multi-variant environmental parameters and practical, on-field execution. This baseline documentation defines the boundaries of Epic 1, structuring the baseline constraints, explicit platform obligations, empirical foundational knowledge, and socioeconomic imperatives governing the project lifecycle</w:t>
      </w:r>
      <w:r w:rsidR="00D60E63">
        <w:t>.</w:t>
      </w:r>
    </w:p>
    <w:p w14:paraId="00000007" w14:textId="648A6FB7" w:rsidR="001B57FE" w:rsidRPr="00D60E63" w:rsidRDefault="003C2211" w:rsidP="00D60E63">
      <w:pPr>
        <w:spacing w:after="160"/>
        <w:jc w:val="both"/>
      </w:pPr>
      <w:r w:rsidRPr="00D60E63">
        <w:rPr>
          <w:b/>
          <w:bCs/>
          <w:color w:val="1B365D"/>
        </w:rPr>
        <w:t>2. Specify the Business Problem</w:t>
      </w:r>
    </w:p>
    <w:p w14:paraId="00000008" w14:textId="77777777" w:rsidR="001B57FE" w:rsidRDefault="003C2211">
      <w:pPr>
        <w:spacing w:after="160"/>
        <w:jc w:val="both"/>
      </w:pPr>
      <w:r>
        <w:t xml:space="preserve">Modern agricultural production ecosystems face profound systemic challenges that severely diminish overall efficiency, predictability, and yield quality. Traditional heuristic-driven or legacy farming methods are increasingly ineffective due to macro-climatic disruptions and localized resource degradation. The core business problems targeted by the </w:t>
      </w:r>
      <w:proofErr w:type="spellStart"/>
      <w:r>
        <w:t>OptiCrop</w:t>
      </w:r>
      <w:proofErr w:type="spellEnd"/>
      <w:r>
        <w:t xml:space="preserve"> platform include:</w:t>
      </w:r>
    </w:p>
    <w:p w14:paraId="00000009" w14:textId="77777777" w:rsidR="001B57FE" w:rsidRDefault="003C2211">
      <w:pPr>
        <w:spacing w:after="160"/>
        <w:jc w:val="both"/>
      </w:pPr>
      <w:r>
        <w:rPr>
          <w:b/>
          <w:bCs/>
        </w:rPr>
        <w:t xml:space="preserve">• Poor Crop Selection: </w:t>
      </w:r>
      <w:r>
        <w:t xml:space="preserve"> Traditional methods rely on historical intuition rather than empirical quantitative telemetry, causing a severe mismatch between real-time soil capacity and structural crop demands.</w:t>
      </w:r>
    </w:p>
    <w:p w14:paraId="0000000A" w14:textId="77777777" w:rsidR="001B57FE" w:rsidRDefault="003C2211">
      <w:pPr>
        <w:spacing w:after="160"/>
        <w:jc w:val="both"/>
      </w:pPr>
      <w:r>
        <w:rPr>
          <w:b/>
          <w:bCs/>
        </w:rPr>
        <w:t xml:space="preserve">• Inefficient Resource Utilization: </w:t>
      </w:r>
      <w:r>
        <w:t xml:space="preserve"> Over-application or under-application of essential mineral inputs (N, P, K) and irregular water application leads to rapid topsoil exhaustion, environmental runoff, and inflated production overheads.</w:t>
      </w:r>
    </w:p>
    <w:p w14:paraId="0000000B" w14:textId="77777777" w:rsidR="001B57FE" w:rsidRDefault="003C2211">
      <w:pPr>
        <w:spacing w:after="160"/>
        <w:jc w:val="both"/>
      </w:pPr>
      <w:r>
        <w:rPr>
          <w:b/>
          <w:bCs/>
        </w:rPr>
        <w:t xml:space="preserve">• Altered Environmental Conditions: </w:t>
      </w:r>
      <w:r>
        <w:t xml:space="preserve"> Micro-climate volatility, characterized by unpredictable shifts in diurnal temperature bounds, unexpected relative humidity variations, and altered annual precipitation thresholds, renders historical crop schedules obsolete.</w:t>
      </w:r>
    </w:p>
    <w:p w14:paraId="009EAD72" w14:textId="77777777" w:rsidR="00D60E63" w:rsidRDefault="003C2211" w:rsidP="00D60E63">
      <w:pPr>
        <w:spacing w:after="160"/>
        <w:jc w:val="both"/>
      </w:pPr>
      <w:r>
        <w:rPr>
          <w:b/>
          <w:bCs/>
        </w:rPr>
        <w:t xml:space="preserve">• Reduced Agricultural Productivity &amp; Losses: </w:t>
      </w:r>
      <w:r>
        <w:t xml:space="preserve"> The cumulative impact of bad pairing choices and poor input choices results in widespread systemic losses, compromised yield margins, and long-term socio-economic instability within agrarian communities.</w:t>
      </w:r>
    </w:p>
    <w:p w14:paraId="0000000D" w14:textId="57D0CEE9" w:rsidR="001B57FE" w:rsidRPr="00D60E63" w:rsidRDefault="003C2211" w:rsidP="00D60E63">
      <w:pPr>
        <w:spacing w:after="160"/>
        <w:jc w:val="both"/>
      </w:pPr>
      <w:r w:rsidRPr="00D60E63">
        <w:rPr>
          <w:b/>
          <w:bCs/>
          <w:color w:val="1B365D"/>
        </w:rPr>
        <w:t>3. Core Ambient and Soil Parameters Under Evaluation</w:t>
      </w:r>
    </w:p>
    <w:p w14:paraId="0000000E" w14:textId="77777777" w:rsidR="001B57FE" w:rsidRDefault="003C2211">
      <w:pPr>
        <w:spacing w:after="160"/>
        <w:jc w:val="both"/>
      </w:pPr>
      <w:r>
        <w:t>To generate highly reliable, context-specific crop recommendations, the optimization model ingests data across seven distinct geochemical and atmospheric channels. Each metric acts as a crucial continuous or discrete variable within our predictive formulation:</w:t>
      </w:r>
    </w:p>
    <w:p w14:paraId="0000000F" w14:textId="77777777" w:rsidR="001B57FE" w:rsidRDefault="003C2211">
      <w:pPr>
        <w:spacing w:after="160"/>
        <w:jc w:val="both"/>
      </w:pPr>
      <w:r>
        <w:rPr>
          <w:b/>
          <w:bCs/>
        </w:rPr>
        <w:lastRenderedPageBreak/>
        <w:t xml:space="preserve">1. Nitrogen (N): </w:t>
      </w:r>
      <w:r>
        <w:t xml:space="preserve"> Directly controls vegetative growth, chlorophyll synthesis, and leafy canopy architecture.</w:t>
      </w:r>
    </w:p>
    <w:p w14:paraId="00000010" w14:textId="77777777" w:rsidR="001B57FE" w:rsidRDefault="003C2211">
      <w:pPr>
        <w:spacing w:after="160"/>
        <w:jc w:val="both"/>
      </w:pPr>
      <w:r>
        <w:rPr>
          <w:b/>
          <w:bCs/>
        </w:rPr>
        <w:t xml:space="preserve">2. Phosphorus (P): </w:t>
      </w:r>
      <w:r>
        <w:t xml:space="preserve"> Essential for deep cellular energy transfers, nucleic acid production, rapid root development, and early-stage flowering.</w:t>
      </w:r>
    </w:p>
    <w:p w14:paraId="00000011" w14:textId="77777777" w:rsidR="001B57FE" w:rsidRDefault="003C2211">
      <w:pPr>
        <w:spacing w:after="160"/>
        <w:jc w:val="both"/>
      </w:pPr>
      <w:r>
        <w:rPr>
          <w:b/>
          <w:bCs/>
        </w:rPr>
        <w:t xml:space="preserve">3. Potassium (K): </w:t>
      </w:r>
      <w:r>
        <w:t xml:space="preserve"> Regulates stomatal kinetics, osmotic pressure balance, disease resistance pathways, and overall carbohydrate translocations.</w:t>
      </w:r>
    </w:p>
    <w:p w14:paraId="00000012" w14:textId="77777777" w:rsidR="001B57FE" w:rsidRDefault="003C2211">
      <w:pPr>
        <w:spacing w:after="160"/>
        <w:jc w:val="both"/>
      </w:pPr>
      <w:r>
        <w:rPr>
          <w:b/>
          <w:bCs/>
        </w:rPr>
        <w:t xml:space="preserve">4. Soil Reaction (pH Value): </w:t>
      </w:r>
      <w:r>
        <w:t xml:space="preserve"> Dictates the actual biochemical bioavailability of micro and macro-nutrients within the soil solution. Extreme variations cause immediate nutrient lock-out or toxic mineral availabilities.</w:t>
      </w:r>
    </w:p>
    <w:p w14:paraId="00000013" w14:textId="77777777" w:rsidR="001B57FE" w:rsidRDefault="003C2211">
      <w:pPr>
        <w:spacing w:after="160"/>
        <w:jc w:val="both"/>
      </w:pPr>
      <w:r>
        <w:rPr>
          <w:b/>
          <w:bCs/>
        </w:rPr>
        <w:t xml:space="preserve">5. Ambient Temperature: </w:t>
      </w:r>
      <w:r>
        <w:t xml:space="preserve"> Serves as the primary catalyst for metabolic enzyme kinetics, directly limiting the physiological respiration and growth rates of target crops.</w:t>
      </w:r>
    </w:p>
    <w:p w14:paraId="00000014" w14:textId="77777777" w:rsidR="001B57FE" w:rsidRDefault="003C2211">
      <w:pPr>
        <w:spacing w:after="160"/>
        <w:jc w:val="both"/>
      </w:pPr>
      <w:r>
        <w:rPr>
          <w:b/>
          <w:bCs/>
        </w:rPr>
        <w:t xml:space="preserve">6. Relative Humidity: </w:t>
      </w:r>
      <w:r>
        <w:t xml:space="preserve"> Controls the atmospheric vapor pressure deficit (VPD) and the corresponding rate of plant transpiration and structural cooling.</w:t>
      </w:r>
    </w:p>
    <w:p w14:paraId="672EF054" w14:textId="77777777" w:rsidR="00D60E63" w:rsidRDefault="003C2211" w:rsidP="00D60E63">
      <w:pPr>
        <w:spacing w:after="160"/>
        <w:jc w:val="both"/>
      </w:pPr>
      <w:r>
        <w:rPr>
          <w:b/>
          <w:bCs/>
        </w:rPr>
        <w:t xml:space="preserve">7. Rainfall &amp; Seasonality: </w:t>
      </w:r>
      <w:r>
        <w:t xml:space="preserve"> Represents the volumetric moisture input vector, dictating long-term aquifer recharge rates and baseline natural water table viability.</w:t>
      </w:r>
    </w:p>
    <w:p w14:paraId="00000016" w14:textId="0F1D03FE" w:rsidR="001B57FE" w:rsidRPr="00D60E63" w:rsidRDefault="003C2211" w:rsidP="00D60E63">
      <w:pPr>
        <w:spacing w:after="160"/>
        <w:jc w:val="both"/>
      </w:pPr>
      <w:r w:rsidRPr="00D60E63">
        <w:rPr>
          <w:b/>
          <w:bCs/>
          <w:color w:val="1B365D"/>
        </w:rPr>
        <w:t>4. Business Requirements</w:t>
      </w:r>
    </w:p>
    <w:p w14:paraId="00000017" w14:textId="77777777" w:rsidR="001B57FE" w:rsidRDefault="003C2211">
      <w:pPr>
        <w:spacing w:after="160"/>
        <w:jc w:val="both"/>
      </w:pPr>
      <w:r>
        <w:t>The analytical engine is bound to explicit operational metrics, functional capabilities, and technical benchmarks to fulfill its commercial mandate. The architecture must strictly align with the following targeted core execution principles:</w:t>
      </w:r>
    </w:p>
    <w:p w14:paraId="00000018" w14:textId="77777777" w:rsidR="001B57FE" w:rsidRDefault="003C2211">
      <w:pPr>
        <w:spacing w:after="160"/>
        <w:jc w:val="both"/>
      </w:pPr>
      <w:r>
        <w:rPr>
          <w:b/>
          <w:bCs/>
        </w:rPr>
        <w:t xml:space="preserve">• High-Accuracy Analytics: </w:t>
      </w:r>
      <w:r>
        <w:t xml:space="preserve"> The underlying predictive engine must ingest multi-variate ambient and chemical vectors simultaneously to compute precise localized crop suitability indexes with low error tolerances.</w:t>
      </w:r>
    </w:p>
    <w:p w14:paraId="00000019" w14:textId="77777777" w:rsidR="001B57FE" w:rsidRDefault="003C2211">
      <w:pPr>
        <w:spacing w:after="160"/>
        <w:jc w:val="both"/>
      </w:pPr>
      <w:r>
        <w:rPr>
          <w:b/>
          <w:bCs/>
        </w:rPr>
        <w:t xml:space="preserve">• User-Centric Interface: </w:t>
      </w:r>
      <w:r>
        <w:t xml:space="preserve"> End-users must be provided with a responsive, highly intuitive, low-latency web interface, ensuring that complex predictive insights are delivered in a straightforward, actionable format across various client devices.</w:t>
      </w:r>
    </w:p>
    <w:p w14:paraId="0000001A" w14:textId="77777777" w:rsidR="001B57FE" w:rsidRDefault="003C2211">
      <w:pPr>
        <w:spacing w:after="160"/>
        <w:jc w:val="both"/>
      </w:pPr>
      <w:r>
        <w:rPr>
          <w:b/>
          <w:bCs/>
        </w:rPr>
        <w:t xml:space="preserve">• End-to-End Integration: </w:t>
      </w:r>
      <w:r>
        <w:t xml:space="preserve"> Data-ingestion modules, feature-engineering pipelines, and model inference loops must be smoothly interconnected, enabling rapid predictive computations from raw data points.</w:t>
      </w:r>
    </w:p>
    <w:p w14:paraId="0000001B" w14:textId="77777777" w:rsidR="001B57FE" w:rsidRDefault="003C2211">
      <w:pPr>
        <w:spacing w:after="160"/>
        <w:jc w:val="both"/>
      </w:pPr>
      <w:r>
        <w:rPr>
          <w:b/>
          <w:bCs/>
        </w:rPr>
        <w:t xml:space="preserve">• Algorithmic Breadth: </w:t>
      </w:r>
      <w:r>
        <w:t xml:space="preserve"> The platform must support seamless execution across a diverse portfolio of core supervised and unsupervised algorithmic architectures, specifically including K-Nearest Neighbors (KNN), Logistic Regression, Decision Trees, Random Forests, and K-Means Clustering for localized clustering and baseline model validation.</w:t>
      </w:r>
    </w:p>
    <w:p w14:paraId="0000001C" w14:textId="77777777" w:rsidR="001B57FE" w:rsidRDefault="003C2211">
      <w:pPr>
        <w:spacing w:after="160"/>
        <w:jc w:val="both"/>
      </w:pPr>
      <w:r>
        <w:rPr>
          <w:b/>
          <w:bCs/>
        </w:rPr>
        <w:t xml:space="preserve">• Technical Pipelines: </w:t>
      </w:r>
      <w:r>
        <w:t xml:space="preserve"> The core pipeline must incorporate robust automated modules for structured data preprocessing, robust feature scaling (e.g., standard or min-max normalization), quantitative validation metrics, and rich graphical prediction visualizations.</w:t>
      </w:r>
    </w:p>
    <w:p w14:paraId="6BFA07D6" w14:textId="77777777" w:rsidR="00D60E63" w:rsidRDefault="003C2211" w:rsidP="00D60E63">
      <w:pPr>
        <w:spacing w:after="160"/>
        <w:jc w:val="both"/>
      </w:pPr>
      <w:r>
        <w:rPr>
          <w:b/>
          <w:bCs/>
        </w:rPr>
        <w:t xml:space="preserve">• Scalability &amp; Extensibility: </w:t>
      </w:r>
      <w:r>
        <w:t xml:space="preserve"> The core application footprint must maintain high scalability parameters, long-term computational reliability, and microservice flexibility to allow for future </w:t>
      </w:r>
      <w:r>
        <w:lastRenderedPageBreak/>
        <w:t>continuous cloud deployment models and integrations with larger, geographically distributed smart-farming data networks.</w:t>
      </w:r>
    </w:p>
    <w:p w14:paraId="0000001E" w14:textId="5480CB09" w:rsidR="001B57FE" w:rsidRPr="00D60E63" w:rsidRDefault="003C2211" w:rsidP="00D60E63">
      <w:pPr>
        <w:spacing w:after="160"/>
        <w:jc w:val="both"/>
      </w:pPr>
      <w:r w:rsidRPr="00D60E63">
        <w:rPr>
          <w:b/>
          <w:bCs/>
          <w:color w:val="1B365D"/>
        </w:rPr>
        <w:t>5. Literature Survey</w:t>
      </w:r>
    </w:p>
    <w:p w14:paraId="0000001F" w14:textId="77777777" w:rsidR="001B57FE" w:rsidRDefault="003C2211">
      <w:pPr>
        <w:spacing w:after="160"/>
        <w:jc w:val="both"/>
      </w:pPr>
      <w:r>
        <w:t>To establish a valid academic foundation, this phase incorporates a deep architectural evaluation of current peer-reviewed research papers, crop modeling journals, historical case studies, and available online repository resources. Current scientific consensus confirms that a combination of artificial intelligence and robust multi-spectral data analytics vastly outperforms conventional empirical agronomy models.</w:t>
      </w:r>
    </w:p>
    <w:p w14:paraId="00000020" w14:textId="77777777" w:rsidR="001B57FE" w:rsidRDefault="003C2211">
      <w:pPr>
        <w:spacing w:after="160"/>
        <w:jc w:val="both"/>
      </w:pPr>
      <w:r>
        <w:t>The survey specifically examines how different machine learning classifiers respond to regional soil and weather features. Advanced ensemble techniques, such as Random Forests, consistently demonstrate excellent predictive accuracy across non-linear soil-moisture boundaries, while distance-based classifiers like KNN excel at localized classification tasks when provided with dense historical target sets. Additionally, the literature underscores the necessity of implementing strict data pre-processing and fea</w:t>
      </w:r>
      <w:r>
        <w:t>ture-balancing steps to prevent algorithmic bias when working with imbalanced regional crop distributions.</w:t>
      </w:r>
    </w:p>
    <w:p w14:paraId="0FAEF6B2" w14:textId="77777777" w:rsidR="00D60E63" w:rsidRDefault="003C2211" w:rsidP="00D60E63">
      <w:pPr>
        <w:spacing w:after="160"/>
        <w:jc w:val="both"/>
      </w:pPr>
      <w:r>
        <w:t xml:space="preserve">By identifying existing research limitations—such as low model transparency, missing environmental variables, or poor interface responsiveness—the </w:t>
      </w:r>
      <w:proofErr w:type="spellStart"/>
      <w:r>
        <w:t>OptiCrop</w:t>
      </w:r>
      <w:proofErr w:type="spellEnd"/>
      <w:r>
        <w:t xml:space="preserve"> engine optimizes its system architecture, ensuring high predictive accuracy, rapid inference speeds, and a reliable foundation for future regional micro-farming additions</w:t>
      </w:r>
      <w:r w:rsidR="00D60E63">
        <w:t>.</w:t>
      </w:r>
    </w:p>
    <w:p w14:paraId="00000022" w14:textId="470B1845" w:rsidR="001B57FE" w:rsidRPr="00D60E63" w:rsidRDefault="003C2211" w:rsidP="00D60E63">
      <w:pPr>
        <w:spacing w:after="160"/>
        <w:jc w:val="both"/>
      </w:pPr>
      <w:r w:rsidRPr="00D60E63">
        <w:rPr>
          <w:b/>
          <w:bCs/>
          <w:color w:val="1B365D"/>
        </w:rPr>
        <w:t>6. Social and Business Impact</w:t>
      </w:r>
    </w:p>
    <w:p w14:paraId="00000023" w14:textId="77777777" w:rsidR="001B57FE" w:rsidRDefault="003C2211">
      <w:pPr>
        <w:spacing w:after="160"/>
        <w:jc w:val="both"/>
      </w:pPr>
      <w:r>
        <w:t xml:space="preserve">The strategic implementation of the </w:t>
      </w:r>
      <w:proofErr w:type="spellStart"/>
      <w:r>
        <w:t>OptiCrop</w:t>
      </w:r>
      <w:proofErr w:type="spellEnd"/>
      <w:r>
        <w:t xml:space="preserve"> engine yields significant, measurable advantages across both socioeconomic structures and commercial business environments:</w:t>
      </w:r>
    </w:p>
    <w:p w14:paraId="00000024" w14:textId="77777777" w:rsidR="001B57FE" w:rsidRDefault="003C2211">
      <w:pPr>
        <w:spacing w:after="160"/>
        <w:jc w:val="both"/>
      </w:pPr>
      <w:r>
        <w:rPr>
          <w:b/>
          <w:bCs/>
        </w:rPr>
        <w:t xml:space="preserve">• Agronomic Optimization &amp; Profitability: </w:t>
      </w:r>
      <w:r>
        <w:t xml:space="preserve"> By providing precise, scientific crop selections and optimizing mineral input requirements, the platform drastically cuts down on unnecessary production expenditures and chemical waste, increasing net margins per acre.</w:t>
      </w:r>
    </w:p>
    <w:p w14:paraId="00000025" w14:textId="77777777" w:rsidR="001B57FE" w:rsidRDefault="003C2211">
      <w:pPr>
        <w:spacing w:after="160"/>
        <w:jc w:val="both"/>
      </w:pPr>
      <w:r>
        <w:rPr>
          <w:b/>
          <w:bCs/>
        </w:rPr>
        <w:t xml:space="preserve">• Risk Mitigation: </w:t>
      </w:r>
      <w:r>
        <w:t xml:space="preserve"> The platform shifts the industry standard from speculative scheduling to real-time, data-driven farming. This proactive approach minimizes the threat of crop failures stemming from localized soil depletion or sudden, adverse weather shifts.</w:t>
      </w:r>
    </w:p>
    <w:p w14:paraId="00000026" w14:textId="77777777" w:rsidR="001B57FE" w:rsidRDefault="003C2211">
      <w:pPr>
        <w:spacing w:after="160"/>
        <w:jc w:val="both"/>
      </w:pPr>
      <w:r>
        <w:rPr>
          <w:b/>
          <w:bCs/>
        </w:rPr>
        <w:t xml:space="preserve">• Empirical Decision-Support: </w:t>
      </w:r>
      <w:r>
        <w:t xml:space="preserve"> By offering clear, actionable, and mathematically validated insights, the application equips smallholder farmers, larger agribusinesses, and agricultural policy groups with the tools needed to make smarter, long-term operational choices.</w:t>
      </w:r>
    </w:p>
    <w:p w14:paraId="00000027" w14:textId="77777777" w:rsidR="001B57FE" w:rsidRDefault="003C2211">
      <w:pPr>
        <w:spacing w:after="160"/>
        <w:jc w:val="both"/>
      </w:pPr>
      <w:r>
        <w:rPr>
          <w:b/>
          <w:bCs/>
        </w:rPr>
        <w:t xml:space="preserve">• Environmental Sustainability: </w:t>
      </w:r>
      <w:r>
        <w:t xml:space="preserve"> Promoting precision applications reduces the risk of chemical runoff, helps curb topsoil erosion, and maintains regional ecological balance, directly contributing to long-term sustainable agriculture.</w:t>
      </w:r>
    </w:p>
    <w:p w14:paraId="00000028" w14:textId="77777777" w:rsidR="001B57FE" w:rsidRDefault="003C2211">
      <w:pPr>
        <w:spacing w:after="160"/>
        <w:jc w:val="both"/>
      </w:pPr>
      <w:r>
        <w:rPr>
          <w:b/>
          <w:bCs/>
        </w:rPr>
        <w:t xml:space="preserve">• Macro Socioeconomic Stability: </w:t>
      </w:r>
      <w:r>
        <w:t xml:space="preserve"> At a larger scale, widespread optimization plays a critical role in stabilizing regional food supply networks, ensuring macro-level food security, and driving economic growth within dependent farming communities.</w:t>
      </w:r>
    </w:p>
    <w:sectPr w:rsidR="001B57FE">
      <w:footerReference w:type="default" r:id="rId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E1E5" w14:textId="77777777" w:rsidR="003C2211" w:rsidRDefault="003C2211">
      <w:pPr>
        <w:spacing w:after="0" w:line="240" w:lineRule="auto"/>
      </w:pPr>
      <w:r>
        <w:separator/>
      </w:r>
    </w:p>
  </w:endnote>
  <w:endnote w:type="continuationSeparator" w:id="0">
    <w:p w14:paraId="5ED101F9" w14:textId="77777777" w:rsidR="003C2211" w:rsidRDefault="003C22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3FE718-8109-437B-AAEB-3CFDEC087CC2}"/>
    <w:embedBold r:id="rId2" w:fontKey="{849FD821-61EF-4266-AF76-FD1C2CA9500F}"/>
    <w:embedItalic r:id="rId3" w:fontKey="{0A63C080-1A43-4D86-9C89-204B5DE5BA76}"/>
    <w:embedBoldItalic r:id="rId4" w:fontKey="{4FEDC5A7-51E6-4B19-8D84-793A3E945FCB}"/>
  </w:font>
  <w:font w:name="Cambria">
    <w:panose1 w:val="02040503050406030204"/>
    <w:charset w:val="00"/>
    <w:family w:val="roman"/>
    <w:pitch w:val="variable"/>
    <w:sig w:usb0="E00006FF" w:usb1="420024FF" w:usb2="02000000" w:usb3="00000000" w:csb0="0000019F" w:csb1="00000000"/>
    <w:embedRegular r:id="rId5" w:fontKey="{8DCF7A09-2FD7-4019-9A2E-1963AC28093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9" w14:textId="77777777" w:rsidR="001B57FE" w:rsidRDefault="001B57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C8F9D" w14:textId="77777777" w:rsidR="003C2211" w:rsidRDefault="003C2211">
      <w:pPr>
        <w:spacing w:after="0" w:line="240" w:lineRule="auto"/>
      </w:pPr>
      <w:r>
        <w:separator/>
      </w:r>
    </w:p>
  </w:footnote>
  <w:footnote w:type="continuationSeparator" w:id="0">
    <w:p w14:paraId="52010E97" w14:textId="77777777" w:rsidR="003C2211" w:rsidRDefault="003C221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57FE"/>
    <w:rsid w:val="001B57FE"/>
    <w:rsid w:val="003C2211"/>
    <w:rsid w:val="00C83A24"/>
    <w:rsid w:val="00D60E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9F9E6"/>
  <w15:docId w15:val="{06BCAA6A-7D38-4B76-9D3F-039090FF8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333333"/>
        <w:sz w:val="24"/>
        <w:szCs w:val="24"/>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1280</Words>
  <Characters>7296</Characters>
  <Application>Microsoft Office Word</Application>
  <DocSecurity>0</DocSecurity>
  <Lines>60</Lines>
  <Paragraphs>17</Paragraphs>
  <ScaleCrop>false</ScaleCrop>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Chaitu Varadaiahgari</dc:creator>
  <cp:lastModifiedBy>Chaitu Varadaiahgari</cp:lastModifiedBy>
  <cp:revision>2</cp:revision>
  <dcterms:created xsi:type="dcterms:W3CDTF">2026-06-29T04:32:00Z</dcterms:created>
  <dcterms:modified xsi:type="dcterms:W3CDTF">2026-06-29T04:32:00Z</dcterms:modified>
</cp:coreProperties>
</file>