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240" w:before="0" w:lineRule="auto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PROJECT CONCLUSION AND FUTURE SCOPE (EPIC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The OptiCrop project successfully demonstrates that complex soil chemistry characteristics and multi-variate macro-climatic atmospheric observations can be mapped cleanly to optimal agricultural output recommendation tracks using a unified web framework. By combining mathematical predictive analytics with a straightforward, accessible browser user interface, the system lowers technological barriers, enabling empirical, data-driven farming decisions. The software pipeline successfully establishes an interactive request-response infrastructure that directly benefits the agricultural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120" w:befor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 KEY PROJECT TAKEAWAYS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• Data-Driven Precision: Replaces speculative generational heuristics with precise, localized, multi-class categorical crop recommendations based entirely on real physical field attributes.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• Seamless System Integration: Establishes a robust and repeatable production pipeline, ensuring complete operational synchronization between static disk serialization objects (model.pkl) and live web engine server states (app.py).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• Multi-Algorithmic Validity: Leverages a structured, multimodal programming approach—integrating the descriptive clustering capabilities of K-Means, the instance-based mapping of K-Nearest Neighbors (KNN), and the probabilistic classification of Logistic Regression—to maximize system deployment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 FUTURE DEVELOPMENT AND SCALABILITY VECTORS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• Public Cloud Migration: Transition the current local web server setup onto permanent, globally accessible cloud infrastructure configurations (such as Render, Railway, or AWS) to enable seamless client connectivity via mobile smartphone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• Automated Edge Hardware Streaming: Modify the data ingestion layer to interface directly with physical, real-time IoT field microcontroller hardware probes (such as electronic NPK soil sensors and automated DHT22 climate modules) to eliminate manual data transcription completely.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• Dynamic Model Retraining: Set up automated pipeline hooks to pull new localized crop growth observations over time, continuously expanding the engine's geographical boundaries and algorithmic prediction scope.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