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 No - 12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Clustering Analysis.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we will use customer data [6] that is contained in “customers.arff” file and analyze it with k-means clustering scheme.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to create excel file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76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2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4050" cy="284790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In ‘Preprocess’ window click on ‘Open file…’ button and select “customers.arff” file. Click ‘Cluster’ tab at the top of WEKA Explorer window.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‘Clusterer’ box click on ‘Choose’ button. In pull-down menu select WEKA   Clusterers, and select the cluster scheme ‘SimpleKMeans’. Some implementations of K-means only allow numerical values for attributes.  right-click on the algorithm “weak.gui.GenericObjectEditor” comes up to the screen.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Set the value in “numClusters” box to 5(instead of default 2) because you have five clusters in your .arff file.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Click on ‘Classes to cluster evaluation’ radio-button in ‘Cluster mode’ box and select ‘marital_status’ in the pull-down box below.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Click on the ‘Start’ button to execute the algorithm.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03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Right-click on the entry in the ‘Result list’ and select ‘Visualize cluster assignments’ in the pull-down window.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‘Weka Clusterer Visualize’ window.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660900" cy="37274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72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HrutviMande_21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