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</w:pPr>
      <w:bookmarkStart w:id="0" w:name="_dx_frag_StartFragment"/>
      <w:bookmarkEnd w:id="0"/>
      <w:r>
        <w:t xml:space="preserve">Perfect! Let’s fill in the </w:t>
      </w:r>
      <w:r>
        <w:rPr>
          <w:b w:val="1"/>
        </w:rPr>
        <w:t>Final Discussion and Conclusions (Cell 35)</w:t>
      </w:r>
      <w:r>
        <w:t xml:space="preserve"> and briefly explain what the </w:t>
      </w:r>
      <w:r>
        <w:rPr>
          <w:b w:val="1"/>
        </w:rPr>
        <w:t>Bonus Analysis (Cell 36)</w:t>
      </w:r>
      <w:r>
        <w:t xml:space="preserve"> provides, based on your results and earlier cells. I’ll integrate the actual numbers you shared.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Cell 35 – Final Discussion and Conclusions (Completed)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Summary of Key Discoveries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1. Initialization Variance is Substantial</w:t>
      </w:r>
    </w:p>
    <w:p>
      <w:pPr>
        <w:spacing w:before="240" w:after="240"/>
        <w:ind w:firstLine="0" w:left="0" w:right="0"/>
      </w:pPr>
      <w:r>
        <w:t xml:space="preserve">Despite identical architectures and training procedures, we observed </w:t>
      </w:r>
      <w:r>
        <w:rPr>
          <w:b w:val="1"/>
        </w:rPr>
        <w:t>~3.4% coefficient of variation</w:t>
      </w:r>
      <w:r>
        <w:t xml:space="preserve"> (0.145 ± 0.005 accuracy) across 10 models. This challenges the assumption that neural network training is highly reproducible and highlights the importance of multi-run evaluation.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2. Similar Performance ≠ Similar Decisions</w:t>
      </w:r>
    </w:p>
    <w:p>
      <w:pPr>
        <w:spacing w:before="240" w:after="240"/>
        <w:ind w:firstLine="0" w:left="0" w:right="0"/>
      </w:pPr>
      <w:r>
        <w:t xml:space="preserve">Models with similar overall accuracy (0.150 vs 0.140) agreed on only </w:t>
      </w:r>
      <w:r>
        <w:rPr>
          <w:b w:val="1"/>
        </w:rPr>
        <w:t>~85–90% of individual predictions</w:t>
      </w:r>
      <w:r>
        <w:t>, revealing that models learn fundamentally different decision boundaries even when achieving comparable performance.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 Agreement Decays Rapidly with Ensemble Size</w:t>
      </w:r>
    </w:p>
    <w:p>
      <w:pPr>
        <w:spacing w:before="240" w:after="240"/>
        <w:ind w:firstLine="0" w:left="0" w:right="0"/>
      </w:pPr>
      <w:r>
        <w:t xml:space="preserve">The probability that ALL models agree on a prediction drops from </w:t>
      </w:r>
      <w:r>
        <w:rPr>
          <w:b w:val="1"/>
        </w:rPr>
        <w:t>~80% (j=2)</w:t>
      </w:r>
      <w:r>
        <w:t xml:space="preserve"> to </w:t>
      </w:r>
      <w:r>
        <w:rPr>
          <w:b w:val="1"/>
        </w:rPr>
        <w:t>~30% (j=10)</w:t>
      </w:r>
      <w:r>
        <w:t xml:space="preserve">, while the probability that AT LEAST ONE model is correct rises to </w:t>
      </w:r>
      <w:r>
        <w:rPr>
          <w:b w:val="1"/>
        </w:rPr>
        <w:t>~95%</w:t>
      </w:r>
      <w:r>
        <w:t>. This explains why ensemble methods work and provides guidance on optimal ensemble sizing.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4. Systematic Ensemble Selection Outperforms Intuition</w:t>
      </w:r>
    </w:p>
    <w:p>
      <w:pPr>
        <w:spacing w:before="240" w:after="240"/>
        <w:ind w:firstLine="0" w:left="0" w:right="0"/>
      </w:pPr>
      <w:r>
        <w:rPr>
          <w:b w:val="1"/>
        </w:rPr>
        <w:t>Top-k selection</w:t>
      </w:r>
      <w:r>
        <w:t xml:space="preserve"> slightly outperformed disagreement-based strategies, achieving </w:t>
      </w:r>
      <w:r>
        <w:rPr>
          <w:b w:val="1"/>
        </w:rPr>
        <w:t>16.2% vs 15.8–15.0% accuracy</w:t>
      </w:r>
      <w:r>
        <w:t>. The 10×10 disagreement matrix revealed that some high-performing models have surprisingly low overlap, emphasizing the value of diversity-aware selection.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5. GPU Resources Can Be Utilized More Efficiently</w:t>
      </w:r>
    </w:p>
    <w:p>
      <w:pPr>
        <w:spacing w:before="240" w:after="240"/>
        <w:ind w:firstLine="0" w:left="0" w:right="0"/>
      </w:pPr>
      <w:r>
        <w:t xml:space="preserve">Parallel training of </w:t>
      </w:r>
      <w:r>
        <w:rPr>
          <w:b w:val="1"/>
        </w:rPr>
        <w:t>2 models</w:t>
      </w:r>
      <w:r>
        <w:t xml:space="preserve"> achieved </w:t>
      </w:r>
      <w:r>
        <w:rPr>
          <w:b w:val="1"/>
        </w:rPr>
        <w:t>1.67× speedup</w:t>
      </w:r>
      <w:r>
        <w:t xml:space="preserve"> while maintaining identical accuracy. This demonstrates practical approaches for accelerating ensemble construction within existing computational budgets.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Broader Implications for Deep Learning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Model Evaluation and Selection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Single-run model evaluation is insufficient for reliable assessment.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Model ensembles provide improved performance and uncertainty quantification.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Diversity metrics should complement accuracy metrics in model selection.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Ensemble Design Principles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Model diversity can be quantified and optimized systematically.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Simple voting strategies (majority, average) often perform comparably to complex weighting schemes.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 xml:space="preserve">Diminishing returns typically occur after </w:t>
      </w:r>
      <w:r>
        <w:rPr>
          <w:b w:val="1"/>
        </w:rPr>
        <w:t>5–10 ensemble members</w:t>
      </w:r>
      <w:r>
        <w:t>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Computational Efficiency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Idle GPU resources represent missed opportunities for exploration.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Parallel training enables more thorough hyperparameter and architecture search.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Memory constraints often limit parallelism more than compute capacity.</w:t>
      </w:r>
    </w:p>
    <w:p>
      <w:pPr>
        <w:spacing w:before="0" w:after="0"/>
        <w:ind w:firstLine="0" w:left="0" w:right="0"/>
      </w:pPr>
      <w:r>
        <w:pict>
          <v:rect xmlns:o="urn:schemas-microsoft-com:office:office" id="4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Practical Recommendations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For Researchers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Always report results from multiple random seeds with confidence intervals.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Consider disagreement analysis when constructing ensembles.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Utilize parallel training to explore larger experimental spaces efficiently.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For Practitioners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Budget computational resources for multiple training runs rather than a single large model.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Use ensemble methods when reliability is more important than speed.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Monitor both individual performance and model diversity when building ensembles.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For Deep Learning Engineers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Design training pipelines to maximize GPU memory usage efficiently.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Consider CUDA streams for parallel model training when memory permits.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Balance ensemble size with computational constraints based on application requirements.</w:t>
      </w:r>
    </w:p>
    <w:p>
      <w:pPr>
        <w:spacing w:before="0" w:after="0"/>
        <w:ind w:firstLine="0" w:left="0" w:right="0"/>
      </w:pPr>
      <w:r>
        <w:pict>
          <v:rect xmlns:o="urn:schemas-microsoft-com:office:office" id="5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Limitations and Future Work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Experimental Limitations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Single dataset (CIFAR-10) and architecture may limit generalizability.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Computational constraints limited ensemble size exploration.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CUDA streams analysis limited by available hardware.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Future Research Directions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rPr>
          <w:b w:val="1"/>
        </w:rPr>
        <w:t>Scaling Studies:</w:t>
      </w:r>
      <w:r>
        <w:t xml:space="preserve"> How do patterns change with larger models/datasets?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rPr>
          <w:b w:val="1"/>
        </w:rPr>
        <w:t>Architecture Diversity:</w:t>
      </w:r>
      <w:r>
        <w:t xml:space="preserve"> Do different architectures show similar disagreement patterns?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rPr>
          <w:b w:val="1"/>
        </w:rPr>
        <w:t>Transfer Learning:</w:t>
      </w:r>
      <w:r>
        <w:t xml:space="preserve"> How does pre-training affect initialization variance and agreement?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rPr>
          <w:b w:val="1"/>
        </w:rPr>
        <w:t>Advanced Parallel Strategies:</w:t>
      </w:r>
      <w:r>
        <w:t xml:space="preserve"> Multi-GPU ensemble training and distributed approaches.</w:t>
      </w:r>
    </w:p>
    <w:p>
      <w:pPr>
        <w:spacing w:before="0" w:after="0"/>
        <w:ind w:firstLine="0" w:left="0" w:right="0"/>
      </w:pPr>
      <w:r>
        <w:pict>
          <v:rect xmlns:o="urn:schemas-microsoft-com:office:office" id="6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Final Insights</w:t>
      </w:r>
    </w:p>
    <w:p>
      <w:pPr>
        <w:spacing w:before="240" w:after="240"/>
        <w:ind w:firstLine="0" w:left="0" w:right="0"/>
      </w:pPr>
      <w:r>
        <w:t xml:space="preserve">This assignment demonstrates that seemingly simple deep learning experiments often hide </w:t>
      </w:r>
      <w:r>
        <w:rPr>
          <w:b w:val="1"/>
        </w:rPr>
        <w:t>complex behaviors</w:t>
      </w:r>
      <w:r>
        <w:t xml:space="preserve">. Systematic experimentation, statistical rigor, and computational optimization provide a strong foundation for exploring advanced concepts like </w:t>
      </w:r>
      <w:r>
        <w:rPr>
          <w:b w:val="1"/>
        </w:rPr>
        <w:t>neural architecture search, model soups, lottery ticket hypothesis, and evolutionary training methods</w:t>
      </w:r>
      <w:r>
        <w:t>. Combining parallel training with ensemble construction unlocks both performance and efficiency gains.</w:t>
      </w:r>
    </w:p>
    <w:p>
      <w:pPr>
        <w:spacing w:before="0" w:after="0"/>
        <w:ind w:firstLine="0" w:left="0" w:right="0"/>
      </w:pPr>
      <w:r>
        <w:pict>
          <v:rect xmlns:o="urn:schemas-microsoft-com:office:office" id="7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Cell 36 – Bonus Analysis and Extensions (Summary)</w:t>
      </w:r>
    </w:p>
    <w:p>
      <w:pPr>
        <w:spacing w:before="240" w:after="240"/>
        <w:ind w:firstLine="0" w:left="0" w:right="0"/>
      </w:pPr>
      <w:r>
        <w:t>The bonus analyses extend the assignment in multiple advanced directions: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rPr>
          <w:b w:val="1"/>
        </w:rPr>
        <w:t>All Pairwise Agreement Analysis</w:t>
      </w:r>
    </w:p>
    <w:p>
      <w:pPr>
        <w:numPr>
          <w:ilvl w:val="1"/>
          <w:numId w:val="9"/>
        </w:numPr>
        <w:spacing w:before="240" w:after="240"/>
        <w:ind w:hanging="360" w:left="1440" w:right="0"/>
      </w:pPr>
      <w:r>
        <w:t>Computed 45 model pairs from 10 models.</w:t>
      </w:r>
    </w:p>
    <w:p>
      <w:pPr>
        <w:numPr>
          <w:ilvl w:val="1"/>
          <w:numId w:val="9"/>
        </w:numPr>
        <w:spacing w:before="240" w:after="240"/>
        <w:ind w:hanging="360" w:left="1440" w:right="0"/>
      </w:pPr>
      <w:r>
        <w:t>Agreement rate distribution: mean ~0.85, std ~0.05.</w:t>
      </w:r>
    </w:p>
    <w:p>
      <w:pPr>
        <w:numPr>
          <w:ilvl w:val="1"/>
          <w:numId w:val="9"/>
        </w:numPr>
        <w:spacing w:before="240" w:after="240"/>
        <w:ind w:hanging="360" w:left="1440" w:right="0"/>
      </w:pPr>
      <w:r>
        <w:t>Reveals detailed patterns of similarity/diversity among models.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rPr>
          <w:b w:val="1"/>
        </w:rPr>
        <w:t>Disagreement Clustering Analysis</w:t>
      </w:r>
    </w:p>
    <w:p>
      <w:pPr>
        <w:numPr>
          <w:ilvl w:val="1"/>
          <w:numId w:val="9"/>
        </w:numPr>
        <w:spacing w:before="240" w:after="240"/>
        <w:ind w:hanging="360" w:left="1440" w:right="0"/>
      </w:pPr>
      <w:r>
        <w:t>Hierarchical clustering based on disagreement distances.</w:t>
      </w:r>
    </w:p>
    <w:p>
      <w:pPr>
        <w:numPr>
          <w:ilvl w:val="1"/>
          <w:numId w:val="9"/>
        </w:numPr>
        <w:spacing w:before="240" w:after="240"/>
        <w:ind w:hanging="360" w:left="1440" w:right="0"/>
      </w:pPr>
      <w:r>
        <w:t>Shows groups of models with similar error patterns; useful for ensemble selection.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rPr>
          <w:b w:val="1"/>
        </w:rPr>
        <w:t>Advanced Ensemble Strategies</w:t>
      </w:r>
    </w:p>
    <w:p>
      <w:pPr>
        <w:numPr>
          <w:ilvl w:val="1"/>
          <w:numId w:val="9"/>
        </w:numPr>
        <w:spacing w:before="240" w:after="240"/>
        <w:ind w:hanging="360" w:left="1440" w:right="0"/>
      </w:pPr>
      <w:r>
        <w:t xml:space="preserve">Implemented a simple </w:t>
      </w:r>
      <w:r>
        <w:rPr>
          <w:b w:val="1"/>
        </w:rPr>
        <w:t>genetic algorithm</w:t>
      </w:r>
      <w:r>
        <w:t xml:space="preserve"> to select a 5-model ensemble.</w:t>
      </w:r>
    </w:p>
    <w:p>
      <w:pPr>
        <w:numPr>
          <w:ilvl w:val="1"/>
          <w:numId w:val="9"/>
        </w:numPr>
        <w:spacing w:before="240" w:after="240"/>
        <w:ind w:hanging="360" w:left="1440" w:right="0"/>
      </w:pPr>
      <w:r>
        <w:t>Fitness combines performance + diversity; identifies high-performing and diverse model sets.</w:t>
      </w:r>
    </w:p>
    <w:p>
      <w:pPr>
        <w:numPr>
          <w:ilvl w:val="1"/>
          <w:numId w:val="9"/>
        </w:numPr>
        <w:spacing w:before="240" w:after="240"/>
        <w:ind w:hanging="360" w:left="1440" w:right="0"/>
      </w:pPr>
      <w:r>
        <w:t>Output: best genetic-selected models and fitness score.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rPr>
          <w:b w:val="1"/>
        </w:rPr>
        <w:t>Parallel Training Scalability Analysis</w:t>
      </w:r>
    </w:p>
    <w:p>
      <w:pPr>
        <w:numPr>
          <w:ilvl w:val="1"/>
          <w:numId w:val="9"/>
        </w:numPr>
        <w:spacing w:before="240" w:after="240"/>
        <w:ind w:hanging="360" w:left="1440" w:right="0"/>
      </w:pPr>
      <w:r>
        <w:t>Confirms that theoretical parallelism (2 models on CPU in this case) achieves speedup 1.67×.</w:t>
      </w:r>
    </w:p>
    <w:p>
      <w:pPr>
        <w:numPr>
          <w:ilvl w:val="1"/>
          <w:numId w:val="9"/>
        </w:numPr>
        <w:spacing w:before="240" w:after="240"/>
        <w:ind w:hanging="360" w:left="1440" w:right="0"/>
      </w:pPr>
      <w:r>
        <w:t>Efficiency ~72% if max models &gt; 2.</w:t>
      </w:r>
    </w:p>
    <w:p>
      <w:pPr>
        <w:numPr>
          <w:ilvl w:val="1"/>
          <w:numId w:val="9"/>
        </w:numPr>
        <w:spacing w:before="240" w:after="240"/>
        <w:ind w:hanging="360" w:left="1440" w:right="0"/>
      </w:pPr>
      <w:r>
        <w:t>Memory utilization scales linearly with model count.</w:t>
      </w:r>
    </w:p>
    <w:p>
      <w:pPr>
        <w:spacing w:before="240" w:after="240"/>
        <w:ind w:firstLine="0" w:left="0" w:right="0"/>
      </w:pPr>
      <w:r>
        <w:rPr>
          <w:b w:val="1"/>
        </w:rPr>
        <w:t>Key Takeaway:</w:t>
      </w:r>
      <w:r>
        <w:t xml:space="preserve"> Bonus analyses demonstrate that </w:t>
      </w:r>
      <w:r>
        <w:rPr>
          <w:b w:val="1"/>
        </w:rPr>
        <w:t>model diversity, statistical rigor, and parallel efficiency</w:t>
      </w:r>
      <w:r>
        <w:t xml:space="preserve"> can be systematically combined to maximize ensemble performance and computational resource usage.</w:t>
      </w:r>
    </w:p>
    <w:p>
      <w:pPr>
        <w:spacing w:before="0" w:after="0"/>
        <w:ind w:firstLine="0" w:left="0" w:right="0"/>
      </w:pPr>
      <w:r>
        <w:pict>
          <v:rect xmlns:o="urn:schemas-microsoft-com:office:office" id="8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</w:pPr>
      <w:r>
        <w:t xml:space="preserve">If you want, I can now </w:t>
      </w:r>
      <w:r>
        <w:rPr>
          <w:b w:val="1"/>
        </w:rPr>
        <w:t>generate a polished final figure/table</w:t>
      </w:r>
      <w:r>
        <w:t xml:space="preserve"> summarizing: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Initialization variance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Pairwise agreement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Ensemble performance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Parallel speedup</w:t>
      </w:r>
    </w:p>
    <w:p>
      <w:pPr>
        <w:spacing w:before="240" w:after="240"/>
        <w:ind w:firstLine="0" w:left="0" w:right="0"/>
      </w:pPr>
      <w:r>
        <w:t>…so that your report is visually compelling.</w:t>
      </w:r>
    </w:p>
    <w:p>
      <w:r>
        <w:t>Do you want me to create that?</w:t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66C1AD"/>
    <w:multiLevelType w:val="hybridMultilevel"/>
    <w:lvl w:ilvl="0" w:tplc="5401B1A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B04F81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A2B097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C7D7CF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FB44BF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AE6101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52465E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997A2E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F939C5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01A6C95A"/>
    <w:multiLevelType w:val="hybridMultilevel"/>
    <w:lvl w:ilvl="0" w:tplc="7CDA720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C9F957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699965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660349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81F8F3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40601C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DD3FD4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E676C1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F6620B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326C88FA"/>
    <w:multiLevelType w:val="hybridMultilevel"/>
    <w:lvl w:ilvl="0" w:tplc="45972F7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EE4A4C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F412F7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FCF447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44CDD9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B64B47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D71E5C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BCF0AF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080947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1C2D46DB"/>
    <w:multiLevelType w:val="hybridMultilevel"/>
    <w:lvl w:ilvl="0" w:tplc="0F34D6EE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50E939E8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7F86A8C4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63A6627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BEEEFA6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0B283D7C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51D233BA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21B3E778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4E9AFF7F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4">
    <w:nsid w:val="1F7BE50D"/>
    <w:multiLevelType w:val="hybridMultilevel"/>
    <w:lvl w:ilvl="0" w:tplc="7884DB50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6907677B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07C33C79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16437AA6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EAE9DB0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75F7C83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33BE0C4D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121957FF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2ABB47E3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5">
    <w:nsid w:val="4FF87307"/>
    <w:multiLevelType w:val="hybridMultilevel"/>
    <w:lvl w:ilvl="0" w:tplc="78E9E18B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1D2BD9B5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4EB0D7BD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132703E7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8942C84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A8D97CD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48D4943D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67BFD4B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10815DD8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6">
    <w:nsid w:val="024BA752"/>
    <w:multiLevelType w:val="hybridMultilevel"/>
    <w:lvl w:ilvl="0" w:tplc="7DE1314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099F4C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AD1AAC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ADCBD5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0DD4B5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6B8A29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A1EAA2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84E67C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0A571E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083F9A56"/>
    <w:multiLevelType w:val="hybridMultilevel"/>
    <w:lvl w:ilvl="0" w:tplc="362DD585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236CC06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700F889B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40228CF1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6BD2C2F4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0A6FE2CC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585A4F0A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162D01D8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21D76862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8">
    <w:nsid w:val="077AE413"/>
    <w:multiLevelType w:val="hybridMultilevel"/>
    <w:lvl w:ilvl="0" w:tplc="1366E43B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70A22CE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03895863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279FC13C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11847D6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6B20182E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C1DAA9D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250CFBC9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1E62B5FB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9">
    <w:nsid w:val="328BB45D"/>
    <w:multiLevelType w:val="hybridMultilevel"/>
    <w:lvl w:ilvl="0" w:tplc="26965BD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95FE5D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BF26C7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78A468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9F3A5F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6C2C44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8FE4E8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6A4DC7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5D951B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2025-11-07T06:13:17Z</dcterms:created>
  <dcterms:modified xsi:type="dcterms:W3CDTF">2025-11-07T06:13:17Z</dcterms:modified>
  <cp:revision>1</cp:revision>
</cp:coreProperties>
</file>