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Functional Specification Document (FSD)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Functional Specification Document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904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Project Name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Housing Market Trends using Tableau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Team ID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ALITS-DS-2026-HousingMarketTrends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Version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1.0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Prepared By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 Bhavani and Team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Project Overview</w:t>
      </w:r>
    </w:p>
    <w:p>
      <w:pPr>
        <w:spacing w:after="120"/>
      </w:pPr>
      <w:r>
        <w:rPr>
          <w:b w:val="0"/>
          <w:i w:val="0"/>
          <w:sz w:val="22"/>
        </w:rPr>
        <w:t>Visualizing Housing Market Trends: An Analysis of Sale Prices and Features using Tableau. Built on the Transformed_Housing_Data_2.csv dataset (21,609 records), the solution consists of four Tableau worksheets, one combined dashboard, and a five-point storyboard.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Modules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46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Data Preparation Module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Transforms the raw housing dataset into Transformed_Housing_Data_2.csv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KPI Summary Module (Sheet 1)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Displays Count of records, Sale Price, and Basement Area totals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Price Distribution Module (Sheet 2)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Histogram of Sale Price bins — Total Sales by Years Since Renovation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Renovation Analysis Module (Sheet 3)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Pie chart of House Age distribution split by renovation status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Feature Comparison Module (Sheet 4)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Bar chart comparing bathrooms, bedrooms, and floors by house age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Dashboard Module (Dashboard 1)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Combines all worksheets into the Comprehensive House Price Analysis view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Storyboard Module (Story 1)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5-point guided narrative of the dashboard's insights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Dashboard Walkthrough (Actual Build)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Dashboard 1 — Comprehensive House Price Analysis</w:t>
      </w:r>
    </w:p>
    <w:p>
      <w:pPr>
        <w:spacing w:before="120" w:after="40"/>
      </w:pPr>
      <w:r>
        <w:rPr>
          <w:b/>
          <w:color w:val="1F3A5F"/>
          <w:sz w:val="23"/>
        </w:rPr>
        <w:t>Sheet 1 — KPI Summary</w:t>
      </w:r>
    </w:p>
    <w:p>
      <w:pPr>
        <w:spacing w:after="120"/>
      </w:pPr>
      <w:r>
        <w:rPr>
          <w:b w:val="0"/>
          <w:i w:val="0"/>
          <w:sz w:val="22"/>
        </w:rPr>
        <w:t>Displays three key measures: Count of Transformed_Housing_Data (21,609), Sale Price (11,055,565,423), and Area of the House from Basement (38,643,798).</w:t>
      </w:r>
    </w:p>
    <w:p>
      <w:pPr>
        <w:spacing w:before="120" w:after="40"/>
      </w:pPr>
      <w:r>
        <w:rPr>
          <w:b/>
          <w:color w:val="1F3A5F"/>
          <w:sz w:val="23"/>
        </w:rPr>
        <w:t>Sheet 2 — Total Sales by Years Since Renovation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Sheet 2 — Sale Price Histogram</w:t>
      </w:r>
    </w:p>
    <w:p>
      <w:pPr>
        <w:spacing w:before="120" w:after="40"/>
      </w:pPr>
      <w:r>
        <w:rPr>
          <w:b/>
          <w:color w:val="1F3A5F"/>
          <w:sz w:val="23"/>
        </w:rPr>
        <w:t>Sheet 3 — Distribution of House Age by Renovation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66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Sheet 3 — House Age by Renovation Status</w:t>
      </w:r>
    </w:p>
    <w:p>
      <w:pPr>
        <w:spacing w:before="120" w:after="40"/>
      </w:pPr>
      <w:r>
        <w:rPr>
          <w:b/>
          <w:color w:val="1F3A5F"/>
          <w:sz w:val="23"/>
        </w:rPr>
        <w:t>Sheet 4 — House Age Distribution by Bathrooms, Bedrooms, and Floors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Sheet 4 — Feature Comparison by House Age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Design Considerations</w:t>
      </w:r>
    </w:p>
    <w:p>
      <w:pPr>
        <w:pStyle w:val="ListBullet"/>
        <w:ind w:left="360"/>
      </w:pPr>
      <w:r>
        <w:rPr>
          <w:sz w:val="22"/>
        </w:rPr>
        <w:t>A warm cream/orange color palette was used consistently across the dashboard for visual coherence.</w:t>
      </w:r>
    </w:p>
    <w:p>
      <w:pPr>
        <w:pStyle w:val="ListBullet"/>
        <w:ind w:left="360"/>
      </w:pPr>
      <w:r>
        <w:rPr>
          <w:sz w:val="22"/>
        </w:rPr>
        <w:t>KPI cards positioned at the top-left of Dashboard 1 for quick scanning.</w:t>
      </w:r>
    </w:p>
    <w:p>
      <w:pPr>
        <w:pStyle w:val="ListBullet"/>
        <w:ind w:left="360"/>
      </w:pPr>
      <w:r>
        <w:rPr>
          <w:sz w:val="22"/>
        </w:rPr>
        <w:t>The Age of House filter is shared across all four worksheets for consistent cross-filtering.</w:t>
      </w:r>
    </w:p>
    <w:p>
      <w:pPr>
        <w:pStyle w:val="ListBullet"/>
        <w:ind w:left="360"/>
      </w:pPr>
      <w:r>
        <w:rPr>
          <w:sz w:val="22"/>
        </w:rPr>
        <w:t>Tooltips are enabled on all marks to surface underlying values without cluttering the view.</w:t>
      </w:r>
    </w:p>
    <w:sectPr w:rsidR="00FC693F" w:rsidRPr="0006063C" w:rsidSect="00034616">
      <w:footerReference w:type="default" r:id="rId13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