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009D" w14:textId="5088DBD4" w:rsidR="005A5664" w:rsidRDefault="005A5664" w:rsidP="005A5664">
      <w:pPr>
        <w:pStyle w:val="Title"/>
        <w:jc w:val="center"/>
        <w:rPr>
          <w:rFonts w:ascii="Arial" w:hAnsi="Arial" w:cs="Arial"/>
          <w:sz w:val="48"/>
          <w:szCs w:val="48"/>
        </w:rPr>
      </w:pPr>
      <w:r w:rsidRPr="005A5664">
        <w:rPr>
          <w:rFonts w:ascii="Arial" w:hAnsi="Arial" w:cs="Arial"/>
          <w:sz w:val="48"/>
          <w:szCs w:val="48"/>
        </w:rPr>
        <w:t>Report on Central Tendency and Percentiles</w:t>
      </w:r>
    </w:p>
    <w:p w14:paraId="6C3A2EB4" w14:textId="6EC35CCB" w:rsidR="009A3830" w:rsidRDefault="009A3830" w:rsidP="009A3830">
      <w:pPr>
        <w:jc w:val="center"/>
        <w:rPr>
          <w:lang w:val="en-IN"/>
        </w:rPr>
      </w:pPr>
    </w:p>
    <w:p w14:paraId="2CECE454" w14:textId="689D5FA5" w:rsidR="000169BA" w:rsidRPr="009A3830" w:rsidRDefault="000169BA" w:rsidP="000169BA">
      <w:pPr>
        <w:jc w:val="center"/>
        <w:rPr>
          <w:lang w:val="en-IN"/>
        </w:rPr>
      </w:pPr>
      <w:r w:rsidRPr="000169BA">
        <w:rPr>
          <w:lang w:val="en-IN"/>
        </w:rPr>
        <w:drawing>
          <wp:inline distT="0" distB="0" distL="0" distR="0" wp14:anchorId="786B25EA" wp14:editId="419A6E34">
            <wp:extent cx="4420217" cy="2124371"/>
            <wp:effectExtent l="0" t="0" r="0" b="0"/>
            <wp:docPr id="3524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15579" name=""/>
                    <pic:cNvPicPr/>
                  </pic:nvPicPr>
                  <pic:blipFill>
                    <a:blip r:embed="rId5"/>
                    <a:stretch>
                      <a:fillRect/>
                    </a:stretch>
                  </pic:blipFill>
                  <pic:spPr>
                    <a:xfrm>
                      <a:off x="0" y="0"/>
                      <a:ext cx="4420217" cy="2124371"/>
                    </a:xfrm>
                    <a:prstGeom prst="rect">
                      <a:avLst/>
                    </a:prstGeom>
                  </pic:spPr>
                </pic:pic>
              </a:graphicData>
            </a:graphic>
          </wp:inline>
        </w:drawing>
      </w:r>
    </w:p>
    <w:p w14:paraId="7049885C"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1. Introduction</w:t>
      </w:r>
    </w:p>
    <w:p w14:paraId="500135F8" w14:textId="77777777" w:rsidR="005A5664" w:rsidRPr="005A5664" w:rsidRDefault="005A5664" w:rsidP="005A5664">
      <w:pPr>
        <w:rPr>
          <w:rFonts w:ascii="Arial" w:hAnsi="Arial" w:cs="Arial"/>
          <w:sz w:val="18"/>
          <w:szCs w:val="18"/>
        </w:rPr>
      </w:pPr>
      <w:r w:rsidRPr="005A5664">
        <w:rPr>
          <w:rFonts w:ascii="Arial" w:hAnsi="Arial" w:cs="Arial"/>
          <w:sz w:val="18"/>
          <w:szCs w:val="18"/>
        </w:rPr>
        <w:t>This report summarizes the mean, median, mode, and percentiles (Q1, Q2, Q3, Q4) of a placement dataset. The dataset includes academic percentages (ssc_p, hsc_p, degree_p, etest_p, mba_p) and salary.</w:t>
      </w:r>
    </w:p>
    <w:p w14:paraId="5980515F"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2. Measures of Central Tendency</w:t>
      </w:r>
    </w:p>
    <w:p w14:paraId="2ABE8108" w14:textId="77777777" w:rsidR="005A5664" w:rsidRPr="005A5664" w:rsidRDefault="005A5664" w:rsidP="005A5664">
      <w:pPr>
        <w:rPr>
          <w:rFonts w:ascii="Arial" w:hAnsi="Arial" w:cs="Arial"/>
          <w:sz w:val="18"/>
          <w:szCs w:val="18"/>
        </w:rPr>
      </w:pPr>
      <w:r w:rsidRPr="005A5664">
        <w:rPr>
          <w:rFonts w:ascii="Arial" w:hAnsi="Arial" w:cs="Arial"/>
          <w:sz w:val="18"/>
          <w:szCs w:val="18"/>
        </w:rPr>
        <w:t>• Mean (Average): The mean gives the average marks/salary. For example, the average salary is 288,655, and the average E-Test percentage is 72.10.</w:t>
      </w:r>
    </w:p>
    <w:p w14:paraId="6968C960" w14:textId="77777777" w:rsidR="005A5664" w:rsidRPr="005A5664" w:rsidRDefault="005A5664" w:rsidP="005A5664">
      <w:pPr>
        <w:rPr>
          <w:rFonts w:ascii="Arial" w:hAnsi="Arial" w:cs="Arial"/>
          <w:sz w:val="18"/>
          <w:szCs w:val="18"/>
        </w:rPr>
      </w:pPr>
      <w:r w:rsidRPr="005A5664">
        <w:rPr>
          <w:rFonts w:ascii="Arial" w:hAnsi="Arial" w:cs="Arial"/>
          <w:sz w:val="18"/>
          <w:szCs w:val="18"/>
        </w:rPr>
        <w:t>• Median (Middle Value): The median shows the central value when data is arranged in order. For example, the median salary is 265,000, meaning half of the students earned below this amount and half earned above.</w:t>
      </w:r>
    </w:p>
    <w:p w14:paraId="74024DED" w14:textId="77777777" w:rsidR="005A5664" w:rsidRPr="005A5664" w:rsidRDefault="005A5664" w:rsidP="005A5664">
      <w:pPr>
        <w:rPr>
          <w:rFonts w:ascii="Arial" w:hAnsi="Arial" w:cs="Arial"/>
          <w:sz w:val="18"/>
          <w:szCs w:val="18"/>
        </w:rPr>
      </w:pPr>
      <w:r w:rsidRPr="005A5664">
        <w:rPr>
          <w:rFonts w:ascii="Arial" w:hAnsi="Arial" w:cs="Arial"/>
          <w:sz w:val="18"/>
          <w:szCs w:val="18"/>
        </w:rPr>
        <w:t>• Mode (Most Frequent Value): The mode represents the most common value. For example, the mode of MBA percentage is 56.7, which means this score appeared most frequently in the dataset.</w:t>
      </w:r>
    </w:p>
    <w:p w14:paraId="17746613"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3. Percentile Distribution</w:t>
      </w:r>
    </w:p>
    <w:p w14:paraId="677CACCF" w14:textId="77777777" w:rsidR="005A5664" w:rsidRPr="005A5664" w:rsidRDefault="005A5664" w:rsidP="005A5664">
      <w:pPr>
        <w:rPr>
          <w:rFonts w:ascii="Arial" w:hAnsi="Arial" w:cs="Arial"/>
          <w:sz w:val="18"/>
          <w:szCs w:val="18"/>
        </w:rPr>
      </w:pPr>
      <w:r w:rsidRPr="005A5664">
        <w:rPr>
          <w:rFonts w:ascii="Arial" w:hAnsi="Arial" w:cs="Arial"/>
          <w:sz w:val="18"/>
          <w:szCs w:val="18"/>
        </w:rPr>
        <w:t>• Q1 (25% Percentile): 25% of the data lies below this value. For example, the 25th percentile of salary is 240,000.</w:t>
      </w:r>
    </w:p>
    <w:p w14:paraId="34FE6D19" w14:textId="77777777" w:rsidR="005A5664" w:rsidRPr="005A5664" w:rsidRDefault="005A5664" w:rsidP="005A5664">
      <w:pPr>
        <w:rPr>
          <w:rFonts w:ascii="Arial" w:hAnsi="Arial" w:cs="Arial"/>
          <w:sz w:val="18"/>
          <w:szCs w:val="18"/>
        </w:rPr>
      </w:pPr>
      <w:r w:rsidRPr="005A5664">
        <w:rPr>
          <w:rFonts w:ascii="Arial" w:hAnsi="Arial" w:cs="Arial"/>
          <w:sz w:val="18"/>
          <w:szCs w:val="18"/>
        </w:rPr>
        <w:t>• Q2 (50% Percentile or Median): 50% of the data lies below this value. For example, the 50th percentile of degree_p is 66, meaning half the students scored below 66%.</w:t>
      </w:r>
    </w:p>
    <w:p w14:paraId="1FAC2124" w14:textId="77777777" w:rsidR="005A5664" w:rsidRPr="005A5664" w:rsidRDefault="005A5664" w:rsidP="005A5664">
      <w:pPr>
        <w:rPr>
          <w:rFonts w:ascii="Arial" w:hAnsi="Arial" w:cs="Arial"/>
          <w:sz w:val="18"/>
          <w:szCs w:val="18"/>
        </w:rPr>
      </w:pPr>
      <w:r w:rsidRPr="005A5664">
        <w:rPr>
          <w:rFonts w:ascii="Arial" w:hAnsi="Arial" w:cs="Arial"/>
          <w:sz w:val="18"/>
          <w:szCs w:val="18"/>
        </w:rPr>
        <w:t>• Q3 (75% Percentile): 75% of the data lies below this value. For example, the 75th percentile of salary is 300,000, meaning 75% of students earn below this and only 25% earn more.</w:t>
      </w:r>
    </w:p>
    <w:p w14:paraId="29801960" w14:textId="77777777" w:rsidR="005A5664" w:rsidRPr="005A5664" w:rsidRDefault="005A5664" w:rsidP="005A5664">
      <w:pPr>
        <w:rPr>
          <w:rFonts w:ascii="Arial" w:hAnsi="Arial" w:cs="Arial"/>
          <w:sz w:val="18"/>
          <w:szCs w:val="18"/>
        </w:rPr>
      </w:pPr>
      <w:r w:rsidRPr="005A5664">
        <w:rPr>
          <w:rFonts w:ascii="Arial" w:hAnsi="Arial" w:cs="Arial"/>
          <w:sz w:val="18"/>
          <w:szCs w:val="18"/>
        </w:rPr>
        <w:t>• Q4 (100% or Maximum): Represents the maximum value. For example, the maximum salary is 940,000.</w:t>
      </w:r>
    </w:p>
    <w:p w14:paraId="325A53AA"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lastRenderedPageBreak/>
        <w:t>4. Key Observations</w:t>
      </w:r>
    </w:p>
    <w:p w14:paraId="4E4867CA" w14:textId="77777777" w:rsidR="005A5664" w:rsidRPr="005A5664" w:rsidRDefault="005A5664" w:rsidP="005A5664">
      <w:pPr>
        <w:rPr>
          <w:rFonts w:ascii="Arial" w:hAnsi="Arial" w:cs="Arial"/>
          <w:sz w:val="18"/>
          <w:szCs w:val="18"/>
        </w:rPr>
      </w:pPr>
      <w:r w:rsidRPr="005A5664">
        <w:rPr>
          <w:rFonts w:ascii="Arial" w:hAnsi="Arial" w:cs="Arial"/>
          <w:sz w:val="18"/>
          <w:szCs w:val="18"/>
        </w:rPr>
        <w:t>• Students scored an average of 66–67% in SSC, HSC, and Degree exams.</w:t>
      </w:r>
    </w:p>
    <w:p w14:paraId="4AC291B7" w14:textId="77777777" w:rsidR="005A5664" w:rsidRPr="005A5664" w:rsidRDefault="005A5664" w:rsidP="005A5664">
      <w:pPr>
        <w:rPr>
          <w:rFonts w:ascii="Arial" w:hAnsi="Arial" w:cs="Arial"/>
          <w:sz w:val="18"/>
          <w:szCs w:val="18"/>
        </w:rPr>
      </w:pPr>
      <w:r w:rsidRPr="005A5664">
        <w:rPr>
          <w:rFonts w:ascii="Arial" w:hAnsi="Arial" w:cs="Arial"/>
          <w:sz w:val="18"/>
          <w:szCs w:val="18"/>
        </w:rPr>
        <w:t>• The highest average score is in E-Test (72.1%).</w:t>
      </w:r>
    </w:p>
    <w:p w14:paraId="255CF173" w14:textId="77777777" w:rsidR="005A5664" w:rsidRPr="005A5664" w:rsidRDefault="005A5664" w:rsidP="005A5664">
      <w:pPr>
        <w:rPr>
          <w:rFonts w:ascii="Arial" w:hAnsi="Arial" w:cs="Arial"/>
          <w:sz w:val="18"/>
          <w:szCs w:val="18"/>
        </w:rPr>
      </w:pPr>
      <w:r w:rsidRPr="005A5664">
        <w:rPr>
          <w:rFonts w:ascii="Arial" w:hAnsi="Arial" w:cs="Arial"/>
          <w:sz w:val="18"/>
          <w:szCs w:val="18"/>
        </w:rPr>
        <w:t>• Salaries are highly skewed: although the mean salary is 288,655, the maximum salary is 940,000, indicating some students earn much higher than the average.</w:t>
      </w:r>
    </w:p>
    <w:p w14:paraId="79A785B1" w14:textId="77777777" w:rsidR="005A5664" w:rsidRPr="005A5664" w:rsidRDefault="005A5664" w:rsidP="005A5664">
      <w:pPr>
        <w:rPr>
          <w:rFonts w:ascii="Arial" w:hAnsi="Arial" w:cs="Arial"/>
          <w:sz w:val="18"/>
          <w:szCs w:val="18"/>
        </w:rPr>
      </w:pPr>
      <w:r w:rsidRPr="005A5664">
        <w:rPr>
          <w:rFonts w:ascii="Arial" w:hAnsi="Arial" w:cs="Arial"/>
          <w:sz w:val="18"/>
          <w:szCs w:val="18"/>
        </w:rPr>
        <w:t>• The median salary (265,000) is lower than the mean, showing that a few very high salaries increased the average.</w:t>
      </w:r>
    </w:p>
    <w:p w14:paraId="2AC0CAFE" w14:textId="77777777" w:rsidR="005A5664" w:rsidRPr="005A5664" w:rsidRDefault="005A5664" w:rsidP="005A5664">
      <w:pPr>
        <w:pStyle w:val="Heading1"/>
        <w:rPr>
          <w:rFonts w:ascii="Arial" w:hAnsi="Arial" w:cs="Arial"/>
          <w:color w:val="auto"/>
          <w:sz w:val="32"/>
          <w:szCs w:val="32"/>
        </w:rPr>
      </w:pPr>
      <w:r w:rsidRPr="005A5664">
        <w:rPr>
          <w:rFonts w:ascii="Arial" w:hAnsi="Arial" w:cs="Arial"/>
          <w:color w:val="auto"/>
          <w:sz w:val="32"/>
          <w:szCs w:val="32"/>
        </w:rPr>
        <w:t>5. Conclusion</w:t>
      </w:r>
    </w:p>
    <w:p w14:paraId="1444DA85" w14:textId="1FCDBA3F" w:rsidR="003A5652" w:rsidRDefault="005A5664">
      <w:pPr>
        <w:rPr>
          <w:rFonts w:ascii="Arial" w:hAnsi="Arial" w:cs="Arial"/>
          <w:sz w:val="18"/>
          <w:szCs w:val="18"/>
        </w:rPr>
      </w:pPr>
      <w:r w:rsidRPr="005A5664">
        <w:rPr>
          <w:rFonts w:ascii="Arial" w:hAnsi="Arial" w:cs="Arial"/>
          <w:sz w:val="18"/>
          <w:szCs w:val="18"/>
        </w:rPr>
        <w:t>This statistical analysis highlights the use of mean, median, mode, and percentiles in understanding data distribution. It shows central tendencies of student performance and salary, as well as variations and skewness in outcomes.</w:t>
      </w:r>
    </w:p>
    <w:p w14:paraId="4884A3E7" w14:textId="77777777" w:rsidR="000161C5" w:rsidRDefault="000161C5">
      <w:pPr>
        <w:rPr>
          <w:rFonts w:ascii="Arial" w:hAnsi="Arial" w:cs="Arial"/>
          <w:sz w:val="18"/>
          <w:szCs w:val="18"/>
        </w:rPr>
      </w:pPr>
    </w:p>
    <w:p w14:paraId="44227FC5"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b/>
          <w:bCs/>
          <w:sz w:val="18"/>
          <w:szCs w:val="18"/>
          <w:lang w:val="en-IN"/>
        </w:rPr>
        <w:t>IQR (Interquartile Range)</w:t>
      </w:r>
      <w:r w:rsidRPr="000161C5">
        <w:rPr>
          <w:rFonts w:ascii="Arial" w:hAnsi="Arial" w:cs="Arial"/>
          <w:sz w:val="18"/>
          <w:szCs w:val="18"/>
          <w:lang w:val="en-IN"/>
        </w:rPr>
        <w:t xml:space="preserve"> = Q3 − Q1</w:t>
      </w:r>
    </w:p>
    <w:p w14:paraId="7A8C7092"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sz w:val="18"/>
          <w:szCs w:val="18"/>
          <w:lang w:val="en-IN"/>
        </w:rPr>
        <w:t xml:space="preserve">It shows the </w:t>
      </w:r>
      <w:r w:rsidRPr="000161C5">
        <w:rPr>
          <w:rFonts w:ascii="Arial" w:hAnsi="Arial" w:cs="Arial"/>
          <w:b/>
          <w:bCs/>
          <w:sz w:val="18"/>
          <w:szCs w:val="18"/>
          <w:lang w:val="en-IN"/>
        </w:rPr>
        <w:t>spread of the middle 50% of the data</w:t>
      </w:r>
      <w:r w:rsidRPr="000161C5">
        <w:rPr>
          <w:rFonts w:ascii="Arial" w:hAnsi="Arial" w:cs="Arial"/>
          <w:sz w:val="18"/>
          <w:szCs w:val="18"/>
          <w:lang w:val="en-IN"/>
        </w:rPr>
        <w:t>.</w:t>
      </w:r>
    </w:p>
    <w:p w14:paraId="78C7803B" w14:textId="77777777" w:rsidR="000161C5" w:rsidRPr="000161C5" w:rsidRDefault="000161C5" w:rsidP="000161C5">
      <w:pPr>
        <w:numPr>
          <w:ilvl w:val="0"/>
          <w:numId w:val="1"/>
        </w:numPr>
        <w:rPr>
          <w:rFonts w:ascii="Arial" w:hAnsi="Arial" w:cs="Arial"/>
          <w:sz w:val="18"/>
          <w:szCs w:val="18"/>
          <w:lang w:val="en-IN"/>
        </w:rPr>
      </w:pPr>
      <w:r w:rsidRPr="000161C5">
        <w:rPr>
          <w:rFonts w:ascii="Arial" w:hAnsi="Arial" w:cs="Arial"/>
          <w:sz w:val="18"/>
          <w:szCs w:val="18"/>
          <w:lang w:val="en-IN"/>
        </w:rPr>
        <w:t>Example: If Q1 = 20 and Q3 = 40 → IQR = 20.</w:t>
      </w:r>
    </w:p>
    <w:p w14:paraId="188F468E" w14:textId="77777777" w:rsidR="000161C5" w:rsidRPr="000161C5" w:rsidRDefault="00000000" w:rsidP="000161C5">
      <w:pPr>
        <w:rPr>
          <w:rFonts w:ascii="Arial" w:hAnsi="Arial" w:cs="Arial"/>
          <w:sz w:val="18"/>
          <w:szCs w:val="18"/>
          <w:lang w:val="en-IN"/>
        </w:rPr>
      </w:pPr>
      <w:r>
        <w:rPr>
          <w:rFonts w:ascii="Arial" w:hAnsi="Arial" w:cs="Arial"/>
          <w:sz w:val="18"/>
          <w:szCs w:val="18"/>
          <w:lang w:val="en-IN"/>
        </w:rPr>
        <w:pict w14:anchorId="014B31CD">
          <v:rect id="_x0000_i1025" style="width:0;height:1.5pt" o:hralign="center" o:hrstd="t" o:hr="t" fillcolor="#a0a0a0" stroked="f"/>
        </w:pict>
      </w:r>
    </w:p>
    <w:p w14:paraId="4B927773"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Why multiply by 1.5?</w:t>
      </w:r>
    </w:p>
    <w:p w14:paraId="4CFD43A7"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The </w:t>
      </w:r>
      <w:r w:rsidRPr="000161C5">
        <w:rPr>
          <w:rFonts w:ascii="Arial" w:hAnsi="Arial" w:cs="Arial"/>
          <w:b/>
          <w:bCs/>
          <w:sz w:val="18"/>
          <w:szCs w:val="18"/>
          <w:lang w:val="en-IN"/>
        </w:rPr>
        <w:t>1.5 × IQR rule</w:t>
      </w:r>
      <w:r w:rsidRPr="000161C5">
        <w:rPr>
          <w:rFonts w:ascii="Arial" w:hAnsi="Arial" w:cs="Arial"/>
          <w:sz w:val="18"/>
          <w:szCs w:val="18"/>
          <w:lang w:val="en-IN"/>
        </w:rPr>
        <w:t xml:space="preserve"> is a </w:t>
      </w:r>
      <w:r w:rsidRPr="000161C5">
        <w:rPr>
          <w:rFonts w:ascii="Arial" w:hAnsi="Arial" w:cs="Arial"/>
          <w:b/>
          <w:bCs/>
          <w:sz w:val="18"/>
          <w:szCs w:val="18"/>
          <w:lang w:val="en-IN"/>
        </w:rPr>
        <w:t>convention</w:t>
      </w:r>
      <w:r w:rsidRPr="000161C5">
        <w:rPr>
          <w:rFonts w:ascii="Arial" w:hAnsi="Arial" w:cs="Arial"/>
          <w:sz w:val="18"/>
          <w:szCs w:val="18"/>
          <w:lang w:val="en-IN"/>
        </w:rPr>
        <w:t xml:space="preserve"> (a standard guideline) to decide which points are </w:t>
      </w:r>
      <w:r w:rsidRPr="000161C5">
        <w:rPr>
          <w:rFonts w:ascii="Arial" w:hAnsi="Arial" w:cs="Arial"/>
          <w:i/>
          <w:iCs/>
          <w:sz w:val="18"/>
          <w:szCs w:val="18"/>
          <w:lang w:val="en-IN"/>
        </w:rPr>
        <w:t>too far</w:t>
      </w:r>
      <w:r w:rsidRPr="000161C5">
        <w:rPr>
          <w:rFonts w:ascii="Arial" w:hAnsi="Arial" w:cs="Arial"/>
          <w:sz w:val="18"/>
          <w:szCs w:val="18"/>
          <w:lang w:val="en-IN"/>
        </w:rPr>
        <w:t xml:space="preserve"> from the middle of the data.</w:t>
      </w:r>
    </w:p>
    <w:p w14:paraId="2B194572" w14:textId="77777777" w:rsidR="000161C5" w:rsidRPr="000161C5" w:rsidRDefault="000161C5" w:rsidP="000161C5">
      <w:pPr>
        <w:numPr>
          <w:ilvl w:val="0"/>
          <w:numId w:val="2"/>
        </w:numPr>
        <w:rPr>
          <w:rFonts w:ascii="Arial" w:hAnsi="Arial" w:cs="Arial"/>
          <w:sz w:val="18"/>
          <w:szCs w:val="18"/>
          <w:lang w:val="en-IN"/>
        </w:rPr>
      </w:pPr>
      <w:r w:rsidRPr="000161C5">
        <w:rPr>
          <w:rFonts w:ascii="Arial" w:hAnsi="Arial" w:cs="Arial"/>
          <w:b/>
          <w:bCs/>
          <w:sz w:val="18"/>
          <w:szCs w:val="18"/>
          <w:lang w:val="en-IN"/>
        </w:rPr>
        <w:t>Lower Bound (Lesser Outlier):</w:t>
      </w:r>
      <w:r w:rsidRPr="000161C5">
        <w:rPr>
          <w:rFonts w:ascii="Arial" w:hAnsi="Arial" w:cs="Arial"/>
          <w:sz w:val="18"/>
          <w:szCs w:val="18"/>
          <w:lang w:val="en-IN"/>
        </w:rPr>
        <w:br/>
        <w:t>Q1 − 1.5 × IQR</w:t>
      </w:r>
    </w:p>
    <w:p w14:paraId="0389EFD9" w14:textId="77777777" w:rsidR="000161C5" w:rsidRPr="000161C5" w:rsidRDefault="000161C5" w:rsidP="000161C5">
      <w:pPr>
        <w:numPr>
          <w:ilvl w:val="0"/>
          <w:numId w:val="2"/>
        </w:numPr>
        <w:rPr>
          <w:rFonts w:ascii="Arial" w:hAnsi="Arial" w:cs="Arial"/>
          <w:sz w:val="18"/>
          <w:szCs w:val="18"/>
          <w:lang w:val="en-IN"/>
        </w:rPr>
      </w:pPr>
      <w:r w:rsidRPr="000161C5">
        <w:rPr>
          <w:rFonts w:ascii="Arial" w:hAnsi="Arial" w:cs="Arial"/>
          <w:b/>
          <w:bCs/>
          <w:sz w:val="18"/>
          <w:szCs w:val="18"/>
          <w:lang w:val="en-IN"/>
        </w:rPr>
        <w:t>Upper Bound (Greater Outlier):</w:t>
      </w:r>
      <w:r w:rsidRPr="000161C5">
        <w:rPr>
          <w:rFonts w:ascii="Arial" w:hAnsi="Arial" w:cs="Arial"/>
          <w:sz w:val="18"/>
          <w:szCs w:val="18"/>
          <w:lang w:val="en-IN"/>
        </w:rPr>
        <w:br/>
        <w:t>Q3 + 1.5 × IQR</w:t>
      </w:r>
    </w:p>
    <w:p w14:paraId="5DC30B9B"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Anything outside these bounds is considered an </w:t>
      </w:r>
      <w:r w:rsidRPr="000161C5">
        <w:rPr>
          <w:rFonts w:ascii="Arial" w:hAnsi="Arial" w:cs="Arial"/>
          <w:b/>
          <w:bCs/>
          <w:sz w:val="18"/>
          <w:szCs w:val="18"/>
          <w:lang w:val="en-IN"/>
        </w:rPr>
        <w:t>outlier</w:t>
      </w:r>
      <w:r w:rsidRPr="000161C5">
        <w:rPr>
          <w:rFonts w:ascii="Arial" w:hAnsi="Arial" w:cs="Arial"/>
          <w:sz w:val="18"/>
          <w:szCs w:val="18"/>
          <w:lang w:val="en-IN"/>
        </w:rPr>
        <w:t>.</w:t>
      </w:r>
    </w:p>
    <w:p w14:paraId="1EA126DB" w14:textId="77777777" w:rsidR="000161C5" w:rsidRPr="000161C5" w:rsidRDefault="00000000" w:rsidP="000161C5">
      <w:pPr>
        <w:rPr>
          <w:rFonts w:ascii="Arial" w:hAnsi="Arial" w:cs="Arial"/>
          <w:sz w:val="18"/>
          <w:szCs w:val="18"/>
          <w:lang w:val="en-IN"/>
        </w:rPr>
      </w:pPr>
      <w:r>
        <w:rPr>
          <w:rFonts w:ascii="Arial" w:hAnsi="Arial" w:cs="Arial"/>
          <w:sz w:val="18"/>
          <w:szCs w:val="18"/>
          <w:lang w:val="en-IN"/>
        </w:rPr>
        <w:pict w14:anchorId="3CC22E4F">
          <v:rect id="_x0000_i1026" style="width:0;height:1.5pt" o:hralign="center" o:hrstd="t" o:hr="t" fillcolor="#a0a0a0" stroked="f"/>
        </w:pict>
      </w:r>
    </w:p>
    <w:p w14:paraId="275C6877"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But why 1.5, not 2 or 3?</w:t>
      </w:r>
    </w:p>
    <w:p w14:paraId="1F206CF5"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1.5 was chosen by </w:t>
      </w:r>
      <w:r w:rsidRPr="000161C5">
        <w:rPr>
          <w:rFonts w:ascii="Arial" w:hAnsi="Arial" w:cs="Arial"/>
          <w:b/>
          <w:bCs/>
          <w:sz w:val="18"/>
          <w:szCs w:val="18"/>
          <w:lang w:val="en-IN"/>
        </w:rPr>
        <w:t>John Tukey</w:t>
      </w:r>
      <w:r w:rsidRPr="000161C5">
        <w:rPr>
          <w:rFonts w:ascii="Arial" w:hAnsi="Arial" w:cs="Arial"/>
          <w:sz w:val="18"/>
          <w:szCs w:val="18"/>
          <w:lang w:val="en-IN"/>
        </w:rPr>
        <w:t xml:space="preserve">, a famous statistician, when he invented the </w:t>
      </w:r>
      <w:r w:rsidRPr="000161C5">
        <w:rPr>
          <w:rFonts w:ascii="Arial" w:hAnsi="Arial" w:cs="Arial"/>
          <w:b/>
          <w:bCs/>
          <w:sz w:val="18"/>
          <w:szCs w:val="18"/>
          <w:lang w:val="en-IN"/>
        </w:rPr>
        <w:t>boxplot</w:t>
      </w:r>
      <w:r w:rsidRPr="000161C5">
        <w:rPr>
          <w:rFonts w:ascii="Arial" w:hAnsi="Arial" w:cs="Arial"/>
          <w:sz w:val="18"/>
          <w:szCs w:val="18"/>
          <w:lang w:val="en-IN"/>
        </w:rPr>
        <w:t>.</w:t>
      </w:r>
    </w:p>
    <w:p w14:paraId="3A00B0AC"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It’s a </w:t>
      </w:r>
      <w:r w:rsidRPr="000161C5">
        <w:rPr>
          <w:rFonts w:ascii="Arial" w:hAnsi="Arial" w:cs="Arial"/>
          <w:b/>
          <w:bCs/>
          <w:sz w:val="18"/>
          <w:szCs w:val="18"/>
          <w:lang w:val="en-IN"/>
        </w:rPr>
        <w:t>balance point</w:t>
      </w:r>
      <w:r w:rsidRPr="000161C5">
        <w:rPr>
          <w:rFonts w:ascii="Arial" w:hAnsi="Arial" w:cs="Arial"/>
          <w:sz w:val="18"/>
          <w:szCs w:val="18"/>
          <w:lang w:val="en-IN"/>
        </w:rPr>
        <w:t>:</w:t>
      </w:r>
    </w:p>
    <w:p w14:paraId="47867CC4" w14:textId="77777777" w:rsidR="000161C5" w:rsidRPr="000161C5" w:rsidRDefault="000161C5" w:rsidP="000161C5">
      <w:pPr>
        <w:numPr>
          <w:ilvl w:val="1"/>
          <w:numId w:val="3"/>
        </w:numPr>
        <w:rPr>
          <w:rFonts w:ascii="Arial" w:hAnsi="Arial" w:cs="Arial"/>
          <w:sz w:val="18"/>
          <w:szCs w:val="18"/>
          <w:lang w:val="en-IN"/>
        </w:rPr>
      </w:pPr>
      <w:r w:rsidRPr="000161C5">
        <w:rPr>
          <w:rFonts w:ascii="Arial" w:hAnsi="Arial" w:cs="Arial"/>
          <w:sz w:val="18"/>
          <w:szCs w:val="18"/>
          <w:lang w:val="en-IN"/>
        </w:rPr>
        <w:t xml:space="preserve">If we choose </w:t>
      </w:r>
      <w:r w:rsidRPr="000161C5">
        <w:rPr>
          <w:rFonts w:ascii="Arial" w:hAnsi="Arial" w:cs="Arial"/>
          <w:b/>
          <w:bCs/>
          <w:sz w:val="18"/>
          <w:szCs w:val="18"/>
          <w:lang w:val="en-IN"/>
        </w:rPr>
        <w:t>smaller than 1.5</w:t>
      </w:r>
      <w:r w:rsidRPr="000161C5">
        <w:rPr>
          <w:rFonts w:ascii="Arial" w:hAnsi="Arial" w:cs="Arial"/>
          <w:sz w:val="18"/>
          <w:szCs w:val="18"/>
          <w:lang w:val="en-IN"/>
        </w:rPr>
        <w:t xml:space="preserve"> → too many normal points will look like outliers.</w:t>
      </w:r>
    </w:p>
    <w:p w14:paraId="0D6D5395" w14:textId="77777777" w:rsidR="000161C5" w:rsidRPr="000161C5" w:rsidRDefault="000161C5" w:rsidP="000161C5">
      <w:pPr>
        <w:numPr>
          <w:ilvl w:val="1"/>
          <w:numId w:val="3"/>
        </w:numPr>
        <w:rPr>
          <w:rFonts w:ascii="Arial" w:hAnsi="Arial" w:cs="Arial"/>
          <w:sz w:val="18"/>
          <w:szCs w:val="18"/>
          <w:lang w:val="en-IN"/>
        </w:rPr>
      </w:pPr>
      <w:r w:rsidRPr="000161C5">
        <w:rPr>
          <w:rFonts w:ascii="Arial" w:hAnsi="Arial" w:cs="Arial"/>
          <w:sz w:val="18"/>
          <w:szCs w:val="18"/>
          <w:lang w:val="en-IN"/>
        </w:rPr>
        <w:t xml:space="preserve">If we choose </w:t>
      </w:r>
      <w:r w:rsidRPr="000161C5">
        <w:rPr>
          <w:rFonts w:ascii="Arial" w:hAnsi="Arial" w:cs="Arial"/>
          <w:b/>
          <w:bCs/>
          <w:sz w:val="18"/>
          <w:szCs w:val="18"/>
          <w:lang w:val="en-IN"/>
        </w:rPr>
        <w:t>much bigger than 1.5</w:t>
      </w:r>
      <w:r w:rsidRPr="000161C5">
        <w:rPr>
          <w:rFonts w:ascii="Arial" w:hAnsi="Arial" w:cs="Arial"/>
          <w:sz w:val="18"/>
          <w:szCs w:val="18"/>
          <w:lang w:val="en-IN"/>
        </w:rPr>
        <w:t xml:space="preserve"> (like 3) → we’ll miss real outliers.</w:t>
      </w:r>
    </w:p>
    <w:p w14:paraId="362C2F94" w14:textId="77777777" w:rsidR="000161C5" w:rsidRPr="000161C5" w:rsidRDefault="000161C5" w:rsidP="000161C5">
      <w:pPr>
        <w:numPr>
          <w:ilvl w:val="0"/>
          <w:numId w:val="3"/>
        </w:numPr>
        <w:rPr>
          <w:rFonts w:ascii="Arial" w:hAnsi="Arial" w:cs="Arial"/>
          <w:sz w:val="18"/>
          <w:szCs w:val="18"/>
          <w:lang w:val="en-IN"/>
        </w:rPr>
      </w:pPr>
      <w:r w:rsidRPr="000161C5">
        <w:rPr>
          <w:rFonts w:ascii="Arial" w:hAnsi="Arial" w:cs="Arial"/>
          <w:sz w:val="18"/>
          <w:szCs w:val="18"/>
          <w:lang w:val="en-IN"/>
        </w:rPr>
        <w:t xml:space="preserve">1.5 is not a magic number, but it works well for many types of data as a </w:t>
      </w:r>
      <w:r w:rsidRPr="000161C5">
        <w:rPr>
          <w:rFonts w:ascii="Arial" w:hAnsi="Arial" w:cs="Arial"/>
          <w:b/>
          <w:bCs/>
          <w:sz w:val="18"/>
          <w:szCs w:val="18"/>
          <w:lang w:val="en-IN"/>
        </w:rPr>
        <w:t>rule of thumb</w:t>
      </w:r>
      <w:r w:rsidRPr="000161C5">
        <w:rPr>
          <w:rFonts w:ascii="Arial" w:hAnsi="Arial" w:cs="Arial"/>
          <w:sz w:val="18"/>
          <w:szCs w:val="18"/>
          <w:lang w:val="en-IN"/>
        </w:rPr>
        <w:t>.</w:t>
      </w:r>
    </w:p>
    <w:p w14:paraId="582A204C" w14:textId="77777777" w:rsidR="000161C5" w:rsidRPr="000161C5" w:rsidRDefault="00000000" w:rsidP="000161C5">
      <w:pPr>
        <w:rPr>
          <w:rFonts w:ascii="Arial" w:hAnsi="Arial" w:cs="Arial"/>
          <w:sz w:val="18"/>
          <w:szCs w:val="18"/>
          <w:lang w:val="en-IN"/>
        </w:rPr>
      </w:pPr>
      <w:r>
        <w:rPr>
          <w:rFonts w:ascii="Arial" w:hAnsi="Arial" w:cs="Arial"/>
          <w:sz w:val="18"/>
          <w:szCs w:val="18"/>
          <w:lang w:val="en-IN"/>
        </w:rPr>
        <w:lastRenderedPageBreak/>
        <w:pict w14:anchorId="00776652">
          <v:rect id="_x0000_i1027" style="width:0;height:1.5pt" o:hralign="center" o:hrstd="t" o:hr="t" fillcolor="#a0a0a0" stroked="f"/>
        </w:pict>
      </w:r>
    </w:p>
    <w:p w14:paraId="6325F426" w14:textId="77777777" w:rsidR="000161C5" w:rsidRPr="000161C5" w:rsidRDefault="000161C5" w:rsidP="000161C5">
      <w:pPr>
        <w:rPr>
          <w:rFonts w:ascii="Arial" w:hAnsi="Arial" w:cs="Arial"/>
          <w:b/>
          <w:bCs/>
          <w:sz w:val="18"/>
          <w:szCs w:val="18"/>
          <w:lang w:val="en-IN"/>
        </w:rPr>
      </w:pPr>
      <w:r w:rsidRPr="000161C5">
        <w:rPr>
          <w:rFonts w:ascii="Segoe UI Emoji" w:hAnsi="Segoe UI Emoji" w:cs="Segoe UI Emoji"/>
          <w:b/>
          <w:bCs/>
          <w:sz w:val="18"/>
          <w:szCs w:val="18"/>
          <w:lang w:val="en-IN"/>
        </w:rPr>
        <w:t>🎒</w:t>
      </w:r>
      <w:r w:rsidRPr="000161C5">
        <w:rPr>
          <w:rFonts w:ascii="Arial" w:hAnsi="Arial" w:cs="Arial"/>
          <w:b/>
          <w:bCs/>
          <w:sz w:val="18"/>
          <w:szCs w:val="18"/>
          <w:lang w:val="en-IN"/>
        </w:rPr>
        <w:t xml:space="preserve"> Example for School Student</w:t>
      </w:r>
    </w:p>
    <w:p w14:paraId="42144F43" w14:textId="77777777" w:rsidR="000161C5" w:rsidRPr="000161C5" w:rsidRDefault="000161C5" w:rsidP="000161C5">
      <w:pPr>
        <w:rPr>
          <w:rFonts w:ascii="Arial" w:hAnsi="Arial" w:cs="Arial"/>
          <w:sz w:val="18"/>
          <w:szCs w:val="18"/>
          <w:lang w:val="en-IN"/>
        </w:rPr>
      </w:pPr>
      <w:r w:rsidRPr="000161C5">
        <w:rPr>
          <w:rFonts w:ascii="Arial" w:hAnsi="Arial" w:cs="Arial"/>
          <w:sz w:val="18"/>
          <w:szCs w:val="18"/>
          <w:lang w:val="en-IN"/>
        </w:rPr>
        <w:t xml:space="preserve">Imagine most of your classmates score between </w:t>
      </w:r>
      <w:r w:rsidRPr="000161C5">
        <w:rPr>
          <w:rFonts w:ascii="Arial" w:hAnsi="Arial" w:cs="Arial"/>
          <w:b/>
          <w:bCs/>
          <w:sz w:val="18"/>
          <w:szCs w:val="18"/>
          <w:lang w:val="en-IN"/>
        </w:rPr>
        <w:t>60 and 80 marks</w:t>
      </w:r>
      <w:r w:rsidRPr="000161C5">
        <w:rPr>
          <w:rFonts w:ascii="Arial" w:hAnsi="Arial" w:cs="Arial"/>
          <w:sz w:val="18"/>
          <w:szCs w:val="18"/>
          <w:lang w:val="en-IN"/>
        </w:rPr>
        <w:t xml:space="preserve"> (Q1 = 60, Q3 = 80 → IQR = 20).</w:t>
      </w:r>
    </w:p>
    <w:p w14:paraId="2031A80A" w14:textId="77777777" w:rsidR="000161C5" w:rsidRPr="000161C5" w:rsidRDefault="000161C5" w:rsidP="000161C5">
      <w:pPr>
        <w:numPr>
          <w:ilvl w:val="0"/>
          <w:numId w:val="4"/>
        </w:numPr>
        <w:rPr>
          <w:rFonts w:ascii="Arial" w:hAnsi="Arial" w:cs="Arial"/>
          <w:sz w:val="18"/>
          <w:szCs w:val="18"/>
          <w:lang w:val="en-IN"/>
        </w:rPr>
      </w:pPr>
      <w:r w:rsidRPr="000161C5">
        <w:rPr>
          <w:rFonts w:ascii="Arial" w:hAnsi="Arial" w:cs="Arial"/>
          <w:sz w:val="18"/>
          <w:szCs w:val="18"/>
          <w:lang w:val="en-IN"/>
        </w:rPr>
        <w:t>Lower Bound = 60 − (1.5 × 20) = 30</w:t>
      </w:r>
    </w:p>
    <w:p w14:paraId="2C085449" w14:textId="77777777" w:rsidR="000161C5" w:rsidRPr="000161C5" w:rsidRDefault="000161C5" w:rsidP="000161C5">
      <w:pPr>
        <w:numPr>
          <w:ilvl w:val="0"/>
          <w:numId w:val="4"/>
        </w:numPr>
        <w:rPr>
          <w:rFonts w:ascii="Arial" w:hAnsi="Arial" w:cs="Arial"/>
          <w:sz w:val="18"/>
          <w:szCs w:val="18"/>
          <w:lang w:val="en-IN"/>
        </w:rPr>
      </w:pPr>
      <w:r w:rsidRPr="000161C5">
        <w:rPr>
          <w:rFonts w:ascii="Arial" w:hAnsi="Arial" w:cs="Arial"/>
          <w:sz w:val="18"/>
          <w:szCs w:val="18"/>
          <w:lang w:val="en-IN"/>
        </w:rPr>
        <w:t>Upper Bound = 80 + (1.5 × 20) = 110</w:t>
      </w:r>
    </w:p>
    <w:p w14:paraId="56964764" w14:textId="77777777" w:rsidR="000161C5" w:rsidRPr="000161C5" w:rsidRDefault="000161C5" w:rsidP="000161C5">
      <w:pPr>
        <w:rPr>
          <w:rFonts w:ascii="Arial" w:hAnsi="Arial" w:cs="Arial"/>
          <w:sz w:val="18"/>
          <w:szCs w:val="18"/>
          <w:lang w:val="en-IN"/>
        </w:rPr>
      </w:pPr>
      <w:r w:rsidRPr="000161C5">
        <w:rPr>
          <w:rFonts w:ascii="Segoe UI Emoji" w:hAnsi="Segoe UI Emoji" w:cs="Segoe UI Emoji"/>
          <w:sz w:val="18"/>
          <w:szCs w:val="18"/>
          <w:lang w:val="en-IN"/>
        </w:rPr>
        <w:t>👉</w:t>
      </w:r>
      <w:r w:rsidRPr="000161C5">
        <w:rPr>
          <w:rFonts w:ascii="Arial" w:hAnsi="Arial" w:cs="Arial"/>
          <w:sz w:val="18"/>
          <w:szCs w:val="18"/>
          <w:lang w:val="en-IN"/>
        </w:rPr>
        <w:t xml:space="preserve"> So if someone scores </w:t>
      </w:r>
      <w:r w:rsidRPr="000161C5">
        <w:rPr>
          <w:rFonts w:ascii="Arial" w:hAnsi="Arial" w:cs="Arial"/>
          <w:b/>
          <w:bCs/>
          <w:sz w:val="18"/>
          <w:szCs w:val="18"/>
          <w:lang w:val="en-IN"/>
        </w:rPr>
        <w:t>below 30 or above 110</w:t>
      </w:r>
      <w:r w:rsidRPr="000161C5">
        <w:rPr>
          <w:rFonts w:ascii="Arial" w:hAnsi="Arial" w:cs="Arial"/>
          <w:sz w:val="18"/>
          <w:szCs w:val="18"/>
          <w:lang w:val="en-IN"/>
        </w:rPr>
        <w:t xml:space="preserve">, we call it an </w:t>
      </w:r>
      <w:r w:rsidRPr="000161C5">
        <w:rPr>
          <w:rFonts w:ascii="Arial" w:hAnsi="Arial" w:cs="Arial"/>
          <w:b/>
          <w:bCs/>
          <w:sz w:val="18"/>
          <w:szCs w:val="18"/>
          <w:lang w:val="en-IN"/>
        </w:rPr>
        <w:t>outlier</w:t>
      </w:r>
      <w:r w:rsidRPr="000161C5">
        <w:rPr>
          <w:rFonts w:ascii="Arial" w:hAnsi="Arial" w:cs="Arial"/>
          <w:sz w:val="18"/>
          <w:szCs w:val="18"/>
          <w:lang w:val="en-IN"/>
        </w:rPr>
        <w:t xml:space="preserve"> (very unusual score).</w:t>
      </w:r>
    </w:p>
    <w:p w14:paraId="5E3D9D1F" w14:textId="77777777" w:rsidR="000161C5" w:rsidRPr="000161C5" w:rsidRDefault="00000000" w:rsidP="000161C5">
      <w:pPr>
        <w:rPr>
          <w:rFonts w:ascii="Arial" w:hAnsi="Arial" w:cs="Arial"/>
          <w:sz w:val="18"/>
          <w:szCs w:val="18"/>
          <w:lang w:val="en-IN"/>
        </w:rPr>
      </w:pPr>
      <w:r>
        <w:rPr>
          <w:rFonts w:ascii="Arial" w:hAnsi="Arial" w:cs="Arial"/>
          <w:sz w:val="18"/>
          <w:szCs w:val="18"/>
          <w:lang w:val="en-IN"/>
        </w:rPr>
        <w:pict w14:anchorId="7F9CF9A7">
          <v:rect id="_x0000_i1028" style="width:0;height:1.5pt" o:hralign="center" o:hrstd="t" o:hr="t" fillcolor="#a0a0a0" stroked="f"/>
        </w:pict>
      </w:r>
    </w:p>
    <w:p w14:paraId="7CC18746" w14:textId="77777777" w:rsidR="000161C5" w:rsidRPr="000161C5" w:rsidRDefault="000161C5" w:rsidP="000161C5">
      <w:pPr>
        <w:rPr>
          <w:rFonts w:ascii="Arial" w:hAnsi="Arial" w:cs="Arial"/>
          <w:sz w:val="18"/>
          <w:szCs w:val="18"/>
          <w:lang w:val="en-IN"/>
        </w:rPr>
      </w:pPr>
      <w:r w:rsidRPr="000161C5">
        <w:rPr>
          <w:rFonts w:ascii="Segoe UI Emoji" w:hAnsi="Segoe UI Emoji" w:cs="Segoe UI Emoji"/>
          <w:sz w:val="18"/>
          <w:szCs w:val="18"/>
          <w:lang w:val="en-IN"/>
        </w:rPr>
        <w:t>✅</w:t>
      </w:r>
      <w:r w:rsidRPr="000161C5">
        <w:rPr>
          <w:rFonts w:ascii="Arial" w:hAnsi="Arial" w:cs="Arial"/>
          <w:sz w:val="18"/>
          <w:szCs w:val="18"/>
          <w:lang w:val="en-IN"/>
        </w:rPr>
        <w:t xml:space="preserve"> In short:</w:t>
      </w:r>
      <w:r w:rsidRPr="000161C5">
        <w:rPr>
          <w:rFonts w:ascii="Arial" w:hAnsi="Arial" w:cs="Arial"/>
          <w:sz w:val="18"/>
          <w:szCs w:val="18"/>
          <w:lang w:val="en-IN"/>
        </w:rPr>
        <w:br/>
        <w:t xml:space="preserve">We multiply by </w:t>
      </w:r>
      <w:r w:rsidRPr="000161C5">
        <w:rPr>
          <w:rFonts w:ascii="Arial" w:hAnsi="Arial" w:cs="Arial"/>
          <w:b/>
          <w:bCs/>
          <w:sz w:val="18"/>
          <w:szCs w:val="18"/>
          <w:lang w:val="en-IN"/>
        </w:rPr>
        <w:t>1.5 × IQR</w:t>
      </w:r>
      <w:r w:rsidRPr="000161C5">
        <w:rPr>
          <w:rFonts w:ascii="Arial" w:hAnsi="Arial" w:cs="Arial"/>
          <w:sz w:val="18"/>
          <w:szCs w:val="18"/>
          <w:lang w:val="en-IN"/>
        </w:rPr>
        <w:t xml:space="preserve"> because it gives a </w:t>
      </w:r>
      <w:r w:rsidRPr="000161C5">
        <w:rPr>
          <w:rFonts w:ascii="Arial" w:hAnsi="Arial" w:cs="Arial"/>
          <w:b/>
          <w:bCs/>
          <w:sz w:val="18"/>
          <w:szCs w:val="18"/>
          <w:lang w:val="en-IN"/>
        </w:rPr>
        <w:t>reasonable cutoff</w:t>
      </w:r>
      <w:r w:rsidRPr="000161C5">
        <w:rPr>
          <w:rFonts w:ascii="Arial" w:hAnsi="Arial" w:cs="Arial"/>
          <w:sz w:val="18"/>
          <w:szCs w:val="18"/>
          <w:lang w:val="en-IN"/>
        </w:rPr>
        <w:t xml:space="preserve"> to catch unusual values without being too strict or too loose.</w:t>
      </w:r>
    </w:p>
    <w:p w14:paraId="4AA88FD6" w14:textId="77777777" w:rsidR="000161C5" w:rsidRPr="005A5664" w:rsidRDefault="000161C5">
      <w:pPr>
        <w:rPr>
          <w:rFonts w:ascii="Arial" w:hAnsi="Arial" w:cs="Arial"/>
          <w:sz w:val="18"/>
          <w:szCs w:val="18"/>
        </w:rPr>
      </w:pPr>
    </w:p>
    <w:sectPr w:rsidR="000161C5" w:rsidRPr="005A5664" w:rsidSect="005A56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A546F"/>
    <w:multiLevelType w:val="multilevel"/>
    <w:tmpl w:val="D2EC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D0883"/>
    <w:multiLevelType w:val="multilevel"/>
    <w:tmpl w:val="636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B5FCF"/>
    <w:multiLevelType w:val="multilevel"/>
    <w:tmpl w:val="815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96482"/>
    <w:multiLevelType w:val="multilevel"/>
    <w:tmpl w:val="273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345269">
    <w:abstractNumId w:val="2"/>
  </w:num>
  <w:num w:numId="2" w16cid:durableId="2080639071">
    <w:abstractNumId w:val="1"/>
  </w:num>
  <w:num w:numId="3" w16cid:durableId="954629698">
    <w:abstractNumId w:val="0"/>
  </w:num>
  <w:num w:numId="4" w16cid:durableId="1265503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64"/>
    <w:rsid w:val="000161C5"/>
    <w:rsid w:val="000169BA"/>
    <w:rsid w:val="003A5652"/>
    <w:rsid w:val="005A5664"/>
    <w:rsid w:val="005B4E50"/>
    <w:rsid w:val="00721E1B"/>
    <w:rsid w:val="007B787B"/>
    <w:rsid w:val="009A3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B282"/>
  <w15:chartTrackingRefBased/>
  <w15:docId w15:val="{6B3E3F21-AE2D-4C58-A65D-44DC1222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64"/>
    <w:rPr>
      <w:rFonts w:eastAsiaTheme="minorEastAsia"/>
      <w:lang w:val="en-US"/>
    </w:rPr>
  </w:style>
  <w:style w:type="paragraph" w:styleId="Heading1">
    <w:name w:val="heading 1"/>
    <w:basedOn w:val="Normal"/>
    <w:next w:val="Normal"/>
    <w:link w:val="Heading1Char"/>
    <w:uiPriority w:val="9"/>
    <w:qFormat/>
    <w:rsid w:val="005A56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A56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A56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A56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A56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A5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A56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56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A56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A56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A5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64"/>
    <w:rPr>
      <w:rFonts w:eastAsiaTheme="majorEastAsia" w:cstheme="majorBidi"/>
      <w:color w:val="272727" w:themeColor="text1" w:themeTint="D8"/>
    </w:rPr>
  </w:style>
  <w:style w:type="paragraph" w:styleId="Title">
    <w:name w:val="Title"/>
    <w:basedOn w:val="Normal"/>
    <w:next w:val="Normal"/>
    <w:link w:val="TitleChar"/>
    <w:uiPriority w:val="10"/>
    <w:qFormat/>
    <w:rsid w:val="005A5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664"/>
    <w:rPr>
      <w:i/>
      <w:iCs/>
      <w:color w:val="404040" w:themeColor="text1" w:themeTint="BF"/>
    </w:rPr>
  </w:style>
  <w:style w:type="paragraph" w:styleId="ListParagraph">
    <w:name w:val="List Paragraph"/>
    <w:basedOn w:val="Normal"/>
    <w:uiPriority w:val="34"/>
    <w:qFormat/>
    <w:rsid w:val="005A5664"/>
    <w:pPr>
      <w:ind w:left="720"/>
      <w:contextualSpacing/>
    </w:pPr>
  </w:style>
  <w:style w:type="character" w:styleId="IntenseEmphasis">
    <w:name w:val="Intense Emphasis"/>
    <w:basedOn w:val="DefaultParagraphFont"/>
    <w:uiPriority w:val="21"/>
    <w:qFormat/>
    <w:rsid w:val="005A5664"/>
    <w:rPr>
      <w:i/>
      <w:iCs/>
      <w:color w:val="365F91" w:themeColor="accent1" w:themeShade="BF"/>
    </w:rPr>
  </w:style>
  <w:style w:type="paragraph" w:styleId="IntenseQuote">
    <w:name w:val="Intense Quote"/>
    <w:basedOn w:val="Normal"/>
    <w:next w:val="Normal"/>
    <w:link w:val="IntenseQuoteChar"/>
    <w:uiPriority w:val="30"/>
    <w:qFormat/>
    <w:rsid w:val="005A56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A5664"/>
    <w:rPr>
      <w:i/>
      <w:iCs/>
      <w:color w:val="365F91" w:themeColor="accent1" w:themeShade="BF"/>
    </w:rPr>
  </w:style>
  <w:style w:type="character" w:styleId="IntenseReference">
    <w:name w:val="Intense Reference"/>
    <w:basedOn w:val="DefaultParagraphFont"/>
    <w:uiPriority w:val="32"/>
    <w:qFormat/>
    <w:rsid w:val="005A566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Jeyaseelan</dc:creator>
  <cp:keywords/>
  <dc:description/>
  <cp:lastModifiedBy>Bhavani Jeyaseelan</cp:lastModifiedBy>
  <cp:revision>2</cp:revision>
  <dcterms:created xsi:type="dcterms:W3CDTF">2025-09-07T15:04:00Z</dcterms:created>
  <dcterms:modified xsi:type="dcterms:W3CDTF">2025-09-08T10:17:00Z</dcterms:modified>
</cp:coreProperties>
</file>