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sz w:val="54"/>
        </w:rPr>
        <w:t>HOSPITAL BILLING &amp; CLAIMS</w:t>
        <w:br/>
        <w:t>OPTIMIZATION</w:t>
      </w:r>
    </w:p>
    <w:p>
      <w:pPr>
        <w:jc w:val="center"/>
      </w:pPr>
      <w:r>
        <w:rPr>
          <w:b/>
          <w:sz w:val="36"/>
        </w:rPr>
        <w:t>Power BI Case Study</w:t>
      </w:r>
    </w:p>
    <w:p>
      <w:pPr>
        <w:jc w:val="center"/>
      </w:pPr>
      <w:r>
        <w:rPr>
          <w:sz w:val="24"/>
        </w:rPr>
        <w:t>Revenue • Billing • Claims • Patient Operations</w:t>
      </w:r>
    </w:p>
    <w:p>
      <w:pPr>
        <w:spacing w:before="1100"/>
        <w:jc w:val="center"/>
      </w:pPr>
      <w:r>
        <w:rPr>
          <w:i/>
        </w:rPr>
        <w:t>Prepared as an internship project case study</w:t>
      </w:r>
    </w:p>
    <w:p>
      <w:pPr>
        <w:jc w:val="center"/>
      </w:pPr>
      <w:r>
        <w:rPr>
          <w:sz w:val="20"/>
        </w:rPr>
        <w:t>Tool: Microsoft Power BI | Data scope: synthetic client-demo dataset</w:t>
      </w:r>
    </w:p>
    <w:p>
      <w:r>
        <w:br w:type="page"/>
      </w:r>
    </w:p>
    <w:p>
      <w:pPr>
        <w:pStyle w:val="Heading1"/>
      </w:pPr>
      <w:r>
        <w:t>1. Executive Summary</w:t>
      </w:r>
    </w:p>
    <w:p>
      <w:pPr>
        <w:spacing w:after="120"/>
      </w:pPr>
      <w:r>
        <w:t>This case study documents a Power BI-based Hospital Billing &amp; Claims Optimization solution designed to bring financial performance, revenue leakage, claims processing, and patient-flow operations into a single analytical environment. The report is structured around four dashboard areas: Executive Operations, Revenue Leakage Analytics, Claims Rejection Tracking, and Hospital Operations &amp; Patient Flow.</w:t>
      </w:r>
    </w:p>
    <w:p>
      <w:pPr>
        <w:spacing w:after="120"/>
      </w:pPr>
      <w:r>
        <w:t>The solution is intended to help hospital management move from disconnected billing and operational records to a consolidated view of revenue, unbilled services, payment delays, claim outcomes, denial reasons, emergency intake, patient volumes, and treatment time.</w:t>
      </w:r>
    </w:p>
    <w:tbl>
      <w:tblPr>
        <w:tblStyle w:val="TableGrid"/>
        <w:tblW w:type="auto" w:w="0"/>
        <w:tblLook w:firstColumn="1" w:firstRow="1" w:lastColumn="0" w:lastRow="0" w:noHBand="0" w:noVBand="1" w:val="04A0"/>
      </w:tblPr>
      <w:tblGrid>
        <w:gridCol w:w="10080"/>
      </w:tblGrid>
      <w:tr>
        <w:tc>
          <w:tcPr>
            <w:tcW w:type="dxa" w:w="10080"/>
            <w:shd w:fill="EEF5FA"/>
          </w:tcPr>
          <w:p>
            <w:r>
              <w:rPr>
                <w:b/>
                <w:sz w:val="21"/>
              </w:rPr>
              <w:t>Management perspective</w:t>
              <w:br/>
            </w:r>
            <w:r>
              <w:rPr>
                <w:sz w:val="19"/>
              </w:rPr>
              <w:t>The dashboard connects financial and operational signals. Revenue is not viewed only as a total; the solution also surfaces where revenue is generated, where billing leakage occurs, how claims are progressing, why claims are denied, and how patient activity varies across departments and visit types.</w:t>
            </w:r>
          </w:p>
        </w:tc>
      </w:tr>
    </w:tbl>
    <w:p>
      <w:pPr>
        <w:spacing w:after="40"/>
      </w:pPr>
    </w:p>
    <w:p>
      <w:pPr>
        <w:pStyle w:val="Heading1"/>
      </w:pPr>
      <w:r>
        <w:t>2. Business Challenge</w:t>
      </w:r>
    </w:p>
    <w:p>
      <w:pPr>
        <w:spacing w:after="120"/>
      </w:pPr>
      <w:r>
        <w:t>Hospital billing and claims data can span multiple operational steps: patient visits, procedures, billing, payment collection, insurance submission, claim adjudication, and resolution. Reviewing these areas independently makes it harder to identify revenue leakage, billing delays, recurring denial causes, and operational pressure points.</w:t>
      </w:r>
    </w:p>
    <w:p>
      <w:pPr>
        <w:spacing w:after="120"/>
      </w:pPr>
      <w:r>
        <w:t>The project addresses this challenge by creating an interactive management dashboard that combines financial, claims, and operational perspectives. Instead of relying on isolated tables or static summaries, users can filter the analytical views by dimensions such as month, department, billing status, insurance provider, claim status, and visit type.</w:t>
      </w:r>
    </w:p>
    <w:p>
      <w:pPr>
        <w:pStyle w:val="ListBullet"/>
        <w:spacing w:after="60"/>
      </w:pPr>
      <w:r>
        <w:t>Monitor overall revenue and patient activity from a single executive view.</w:t>
      </w:r>
    </w:p>
    <w:p>
      <w:pPr>
        <w:pStyle w:val="ListBullet"/>
        <w:spacing w:after="60"/>
      </w:pPr>
      <w:r>
        <w:t>Identify unbilled revenue and payment-lag patterns that may delay cash realization.</w:t>
      </w:r>
    </w:p>
    <w:p>
      <w:pPr>
        <w:pStyle w:val="ListBullet"/>
        <w:spacing w:after="60"/>
      </w:pPr>
      <w:r>
        <w:t>Track claim status and denial reasons to highlight recurring rejection drivers.</w:t>
      </w:r>
    </w:p>
    <w:p>
      <w:pPr>
        <w:pStyle w:val="ListBullet"/>
        <w:spacing w:after="60"/>
      </w:pPr>
      <w:r>
        <w:t>Monitor patient inflow, emergency intake, and treatment time across departments.</w:t>
      </w:r>
    </w:p>
    <w:p>
      <w:pPr>
        <w:pStyle w:val="ListBullet"/>
        <w:spacing w:after="60"/>
      </w:pPr>
      <w:r>
        <w:t>Support management investigation through interactive filters and cross-analysis.</w:t>
      </w:r>
    </w:p>
    <w:p>
      <w:pPr>
        <w:pStyle w:val="Heading1"/>
      </w:pPr>
      <w:r>
        <w:t>3. Project Objectives</w:t>
      </w:r>
    </w:p>
    <w:p>
      <w:pPr>
        <w:pStyle w:val="ListBullet"/>
        <w:spacing w:after="60"/>
      </w:pPr>
      <w:r>
        <w:t>Create a consolidated Power BI view of hospital financial and operational performance.</w:t>
      </w:r>
    </w:p>
    <w:p>
      <w:pPr>
        <w:pStyle w:val="ListBullet"/>
        <w:spacing w:after="60"/>
      </w:pPr>
      <w:r>
        <w:t>Monitor revenue contribution by department, payment mode, and visit type.</w:t>
      </w:r>
    </w:p>
    <w:p>
      <w:pPr>
        <w:pStyle w:val="ListBullet"/>
        <w:spacing w:after="60"/>
      </w:pPr>
      <w:r>
        <w:t>Quantify unbilled revenue and understand billing-delay reasons.</w:t>
      </w:r>
    </w:p>
    <w:p>
      <w:pPr>
        <w:pStyle w:val="ListBullet"/>
        <w:spacing w:after="60"/>
      </w:pPr>
      <w:r>
        <w:t>Track recoverable revenue after accounting for unbilled amounts.</w:t>
      </w:r>
    </w:p>
    <w:p>
      <w:pPr>
        <w:pStyle w:val="ListBullet"/>
        <w:spacing w:after="60"/>
      </w:pPr>
      <w:r>
        <w:t>Monitor claim volumes, approved/denied/pending outcomes, and denial rate.</w:t>
      </w:r>
    </w:p>
    <w:p>
      <w:pPr>
        <w:pStyle w:val="ListBullet"/>
        <w:spacing w:after="60"/>
      </w:pPr>
      <w:r>
        <w:t>Identify the most frequent claim denial reasons and high-risk claims.</w:t>
      </w:r>
    </w:p>
    <w:p>
      <w:pPr>
        <w:pStyle w:val="ListBullet"/>
        <w:spacing w:after="60"/>
      </w:pPr>
      <w:r>
        <w:t>Analyze patient visits and emergency intake by department and month.</w:t>
      </w:r>
    </w:p>
    <w:p>
      <w:pPr>
        <w:pStyle w:val="ListBullet"/>
        <w:spacing w:after="60"/>
      </w:pPr>
      <w:r>
        <w:t>Compare average treatment time across departments.</w:t>
      </w:r>
    </w:p>
    <w:p>
      <w:pPr>
        <w:pStyle w:val="ListBullet"/>
        <w:spacing w:after="60"/>
      </w:pPr>
      <w:r>
        <w:t>Provide interactive slicing for management-level investigation.</w:t>
      </w:r>
    </w:p>
    <w:p>
      <w:pPr>
        <w:pStyle w:val="ListBullet"/>
        <w:spacing w:after="60"/>
      </w:pPr>
      <w:r>
        <w:t>Convert transactional hospital records into decision-oriented KPIs and analytical stories.</w:t>
      </w:r>
    </w:p>
    <w:p>
      <w:pPr>
        <w:pStyle w:val="Heading1"/>
      </w:pPr>
      <w:r>
        <w:t>4. Data Foundation &amp; Analytical Model</w:t>
      </w:r>
    </w:p>
    <w:p>
      <w:pPr>
        <w:spacing w:after="120"/>
      </w:pPr>
      <w:r>
        <w:t>The supplied project package describes a synthetic, clean relational dataset created for a four-page Power BI client demonstration. The reference date is 11 September 2026 and the stated coverage is 11 March 2025 to 11 September 2026 (18 months).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9"/>
              </w:rPr>
              <w:t>Table</w:t>
            </w:r>
          </w:p>
        </w:tc>
        <w:tc>
          <w:tcPr>
            <w:tcW w:type="dxa" w:w="3360"/>
            <w:vAlign w:val="center"/>
            <w:shd w:fill="D9EAF7"/>
          </w:tcPr>
          <w:p>
            <w:pPr>
              <w:spacing w:after="0"/>
            </w:pPr>
            <w:r/>
            <w:r>
              <w:rPr>
                <w:b/>
                <w:sz w:val="19"/>
              </w:rPr>
              <w:t>Purpose</w:t>
            </w:r>
          </w:p>
        </w:tc>
        <w:tc>
          <w:tcPr>
            <w:tcW w:type="dxa" w:w="3360"/>
            <w:vAlign w:val="center"/>
            <w:shd w:fill="D9EAF7"/>
          </w:tcPr>
          <w:p>
            <w:pPr>
              <w:spacing w:after="0"/>
            </w:pPr>
            <w:r/>
            <w:r>
              <w:rPr>
                <w:b/>
                <w:sz w:val="19"/>
              </w:rPr>
              <w:t>Records / Scope</w:t>
            </w:r>
          </w:p>
        </w:tc>
      </w:tr>
      <w:tr>
        <w:tc>
          <w:tcPr>
            <w:tcW w:type="dxa" w:w="3360"/>
            <w:vAlign w:val="center"/>
          </w:tcPr>
          <w:p>
            <w:pPr>
              <w:spacing w:after="0"/>
            </w:pPr>
            <w:r/>
            <w:r>
              <w:rPr>
                <w:b w:val="0"/>
                <w:sz w:val="18"/>
              </w:rPr>
              <w:t>Patients</w:t>
            </w:r>
          </w:p>
        </w:tc>
        <w:tc>
          <w:tcPr>
            <w:tcW w:type="dxa" w:w="3360"/>
            <w:vAlign w:val="center"/>
          </w:tcPr>
          <w:p>
            <w:pPr>
              <w:spacing w:after="0"/>
            </w:pPr>
            <w:r/>
            <w:r>
              <w:rPr>
                <w:b w:val="0"/>
                <w:sz w:val="18"/>
              </w:rPr>
              <w:t>Patient master information</w:t>
            </w:r>
          </w:p>
        </w:tc>
        <w:tc>
          <w:tcPr>
            <w:tcW w:type="dxa" w:w="3360"/>
            <w:vAlign w:val="center"/>
          </w:tcPr>
          <w:p>
            <w:pPr>
              <w:spacing w:after="0"/>
            </w:pPr>
            <w:r/>
            <w:r>
              <w:rPr>
                <w:b w:val="0"/>
                <w:sz w:val="18"/>
              </w:rPr>
              <w:t>5,000 unique patients</w:t>
            </w:r>
          </w:p>
        </w:tc>
      </w:tr>
      <w:tr>
        <w:tc>
          <w:tcPr>
            <w:tcW w:type="dxa" w:w="3360"/>
            <w:vAlign w:val="center"/>
          </w:tcPr>
          <w:p>
            <w:pPr>
              <w:spacing w:after="0"/>
            </w:pPr>
            <w:r/>
            <w:r>
              <w:rPr>
                <w:b w:val="0"/>
                <w:sz w:val="18"/>
              </w:rPr>
              <w:t>Visits</w:t>
            </w:r>
          </w:p>
        </w:tc>
        <w:tc>
          <w:tcPr>
            <w:tcW w:type="dxa" w:w="3360"/>
            <w:vAlign w:val="center"/>
          </w:tcPr>
          <w:p>
            <w:pPr>
              <w:spacing w:after="0"/>
            </w:pPr>
            <w:r/>
            <w:r>
              <w:rPr>
                <w:b w:val="0"/>
                <w:sz w:val="18"/>
              </w:rPr>
              <w:t>Patient encounters and operational activity</w:t>
            </w:r>
          </w:p>
        </w:tc>
        <w:tc>
          <w:tcPr>
            <w:tcW w:type="dxa" w:w="3360"/>
            <w:vAlign w:val="center"/>
          </w:tcPr>
          <w:p>
            <w:pPr>
              <w:spacing w:after="0"/>
            </w:pPr>
            <w:r/>
            <w:r>
              <w:rPr>
                <w:b w:val="0"/>
                <w:sz w:val="18"/>
              </w:rPr>
              <w:t>10,000 visits</w:t>
            </w:r>
          </w:p>
        </w:tc>
      </w:tr>
      <w:tr>
        <w:tc>
          <w:tcPr>
            <w:tcW w:type="dxa" w:w="3360"/>
            <w:vAlign w:val="center"/>
          </w:tcPr>
          <w:p>
            <w:pPr>
              <w:spacing w:after="0"/>
            </w:pPr>
            <w:r/>
            <w:r>
              <w:rPr>
                <w:b w:val="0"/>
                <w:sz w:val="18"/>
              </w:rPr>
              <w:t>Billing</w:t>
            </w:r>
          </w:p>
        </w:tc>
        <w:tc>
          <w:tcPr>
            <w:tcW w:type="dxa" w:w="3360"/>
            <w:vAlign w:val="center"/>
          </w:tcPr>
          <w:p>
            <w:pPr>
              <w:spacing w:after="0"/>
            </w:pPr>
            <w:r/>
            <w:r>
              <w:rPr>
                <w:b w:val="0"/>
                <w:sz w:val="18"/>
              </w:rPr>
              <w:t>Charges, unbilled amount, payment lag and billing status</w:t>
            </w:r>
          </w:p>
        </w:tc>
        <w:tc>
          <w:tcPr>
            <w:tcW w:type="dxa" w:w="3360"/>
            <w:vAlign w:val="center"/>
          </w:tcPr>
          <w:p>
            <w:pPr>
              <w:spacing w:after="0"/>
            </w:pPr>
            <w:r/>
            <w:r>
              <w:rPr>
                <w:b w:val="0"/>
                <w:sz w:val="18"/>
              </w:rPr>
              <w:t>10,000 billing records</w:t>
            </w:r>
          </w:p>
        </w:tc>
      </w:tr>
      <w:tr>
        <w:tc>
          <w:tcPr>
            <w:tcW w:type="dxa" w:w="3360"/>
            <w:vAlign w:val="center"/>
          </w:tcPr>
          <w:p>
            <w:pPr>
              <w:spacing w:after="0"/>
            </w:pPr>
            <w:r/>
            <w:r>
              <w:rPr>
                <w:b w:val="0"/>
                <w:sz w:val="18"/>
              </w:rPr>
              <w:t>Claims</w:t>
            </w:r>
          </w:p>
        </w:tc>
        <w:tc>
          <w:tcPr>
            <w:tcW w:type="dxa" w:w="3360"/>
            <w:vAlign w:val="center"/>
          </w:tcPr>
          <w:p>
            <w:pPr>
              <w:spacing w:after="0"/>
            </w:pPr>
            <w:r/>
            <w:r>
              <w:rPr>
                <w:b w:val="0"/>
                <w:sz w:val="18"/>
              </w:rPr>
              <w:t>Insurance claim submission and outcome</w:t>
            </w:r>
          </w:p>
        </w:tc>
        <w:tc>
          <w:tcPr>
            <w:tcW w:type="dxa" w:w="3360"/>
            <w:vAlign w:val="center"/>
          </w:tcPr>
          <w:p>
            <w:pPr>
              <w:spacing w:after="0"/>
            </w:pPr>
            <w:r/>
            <w:r>
              <w:rPr>
                <w:b w:val="0"/>
                <w:sz w:val="18"/>
              </w:rPr>
              <w:t>6,427 claims</w:t>
            </w:r>
          </w:p>
        </w:tc>
      </w:tr>
      <w:tr>
        <w:tc>
          <w:tcPr>
            <w:tcW w:type="dxa" w:w="3360"/>
            <w:vAlign w:val="center"/>
          </w:tcPr>
          <w:p>
            <w:pPr>
              <w:spacing w:after="0"/>
            </w:pPr>
            <w:r/>
            <w:r>
              <w:rPr>
                <w:b w:val="0"/>
                <w:sz w:val="18"/>
              </w:rPr>
              <w:t>Calendar</w:t>
            </w:r>
          </w:p>
        </w:tc>
        <w:tc>
          <w:tcPr>
            <w:tcW w:type="dxa" w:w="3360"/>
            <w:vAlign w:val="center"/>
          </w:tcPr>
          <w:p>
            <w:pPr>
              <w:spacing w:after="0"/>
            </w:pPr>
            <w:r/>
            <w:r>
              <w:rPr>
                <w:b w:val="0"/>
                <w:sz w:val="18"/>
              </w:rPr>
              <w:t>Date dimension for time analysis</w:t>
            </w:r>
          </w:p>
        </w:tc>
        <w:tc>
          <w:tcPr>
            <w:tcW w:type="dxa" w:w="3360"/>
            <w:vAlign w:val="center"/>
          </w:tcPr>
          <w:p>
            <w:pPr>
              <w:spacing w:after="0"/>
            </w:pPr>
            <w:r/>
            <w:r>
              <w:rPr>
                <w:b w:val="0"/>
                <w:sz w:val="18"/>
              </w:rPr>
              <w:t>550 dates</w:t>
            </w:r>
          </w:p>
        </w:tc>
      </w:tr>
    </w:tbl>
    <w:p>
      <w:pPr>
        <w:spacing w:after="40"/>
      </w:pPr>
    </w:p>
    <w:p>
      <w:pPr>
        <w:spacing w:after="120"/>
      </w:pPr>
      <w:r>
        <w:t>The documented relationships are Patients → Visits, Visits → Billing, Billing → Claims, and Calendar → Billing. This relational structure supports analysis across patient activity, financial transactions, and claims without treating each table as an isolated report.</w:t>
      </w:r>
    </w:p>
    <w:tbl>
      <w:tblPr>
        <w:tblStyle w:val="TableGrid"/>
        <w:tblW w:type="auto" w:w="0"/>
        <w:tblLook w:firstColumn="1" w:firstRow="1" w:lastColumn="0" w:lastRow="0" w:noHBand="0" w:noVBand="1" w:val="04A0"/>
      </w:tblPr>
      <w:tblGrid>
        <w:gridCol w:w="10080"/>
      </w:tblGrid>
      <w:tr>
        <w:tc>
          <w:tcPr>
            <w:tcW w:type="dxa" w:w="10080"/>
            <w:shd w:fill="EEF5FA"/>
          </w:tcPr>
          <w:p>
            <w:r>
              <w:rPr>
                <w:b/>
                <w:sz w:val="21"/>
              </w:rPr>
              <w:t>Data-quality note</w:t>
              <w:br/>
            </w:r>
            <w:r>
              <w:rPr>
                <w:sz w:val="19"/>
              </w:rPr>
              <w:t>The supplied data-quality report records zero duplicate Patient_ID, Visit_ID, Bill_ID and Claim_ID values. It also reports 1,281 missing values across the main tables. These checks are useful controls when preparing the model for reporting.</w:t>
            </w:r>
          </w:p>
        </w:tc>
      </w:tr>
    </w:tbl>
    <w:p>
      <w:pPr>
        <w:spacing w:after="40"/>
      </w:pPr>
    </w:p>
    <w:p>
      <w:pPr>
        <w:pStyle w:val="Heading1"/>
      </w:pPr>
      <w:r>
        <w:t>5. Dashboard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9"/>
              </w:rPr>
              <w:t>Page</w:t>
            </w:r>
          </w:p>
        </w:tc>
        <w:tc>
          <w:tcPr>
            <w:tcW w:type="dxa" w:w="3360"/>
            <w:vAlign w:val="center"/>
            <w:shd w:fill="D9EAF7"/>
          </w:tcPr>
          <w:p>
            <w:pPr>
              <w:spacing w:after="0"/>
            </w:pPr>
            <w:r/>
            <w:r>
              <w:rPr>
                <w:b/>
                <w:sz w:val="19"/>
              </w:rPr>
              <w:t>Analytical Focus</w:t>
            </w:r>
          </w:p>
        </w:tc>
        <w:tc>
          <w:tcPr>
            <w:tcW w:type="dxa" w:w="3360"/>
            <w:vAlign w:val="center"/>
            <w:shd w:fill="D9EAF7"/>
          </w:tcPr>
          <w:p>
            <w:pPr>
              <w:spacing w:after="0"/>
            </w:pPr>
            <w:r/>
            <w:r>
              <w:rPr>
                <w:b/>
                <w:sz w:val="19"/>
              </w:rPr>
              <w:t>Primary Questions</w:t>
            </w:r>
          </w:p>
        </w:tc>
      </w:tr>
      <w:tr>
        <w:tc>
          <w:tcPr>
            <w:tcW w:type="dxa" w:w="3360"/>
            <w:vAlign w:val="center"/>
          </w:tcPr>
          <w:p>
            <w:pPr>
              <w:spacing w:after="0"/>
            </w:pPr>
            <w:r/>
            <w:r>
              <w:rPr>
                <w:b w:val="0"/>
                <w:sz w:val="18"/>
              </w:rPr>
              <w:t>1. Executive Operations</w:t>
            </w:r>
          </w:p>
        </w:tc>
        <w:tc>
          <w:tcPr>
            <w:tcW w:type="dxa" w:w="3360"/>
            <w:vAlign w:val="center"/>
          </w:tcPr>
          <w:p>
            <w:pPr>
              <w:spacing w:after="0"/>
            </w:pPr>
            <w:r/>
            <w:r>
              <w:rPr>
                <w:b w:val="0"/>
                <w:sz w:val="18"/>
              </w:rPr>
              <w:t>Revenue, visits, emergency intake, department/payment/visit-type mix</w:t>
            </w:r>
          </w:p>
        </w:tc>
        <w:tc>
          <w:tcPr>
            <w:tcW w:type="dxa" w:w="3360"/>
            <w:vAlign w:val="center"/>
          </w:tcPr>
          <w:p>
            <w:pPr>
              <w:spacing w:after="0"/>
            </w:pPr>
            <w:r/>
            <w:r>
              <w:rPr>
                <w:b w:val="0"/>
                <w:sz w:val="18"/>
              </w:rPr>
              <w:t>What is happening overall, and where is activity/revenue concentrated?</w:t>
            </w:r>
          </w:p>
        </w:tc>
      </w:tr>
      <w:tr>
        <w:tc>
          <w:tcPr>
            <w:tcW w:type="dxa" w:w="3360"/>
            <w:vAlign w:val="center"/>
          </w:tcPr>
          <w:p>
            <w:pPr>
              <w:spacing w:after="0"/>
            </w:pPr>
            <w:r/>
            <w:r>
              <w:rPr>
                <w:b w:val="0"/>
                <w:sz w:val="18"/>
              </w:rPr>
              <w:t>2. Revenue Leakage Analytics</w:t>
            </w:r>
          </w:p>
        </w:tc>
        <w:tc>
          <w:tcPr>
            <w:tcW w:type="dxa" w:w="3360"/>
            <w:vAlign w:val="center"/>
          </w:tcPr>
          <w:p>
            <w:pPr>
              <w:spacing w:after="0"/>
            </w:pPr>
            <w:r/>
            <w:r>
              <w:rPr>
                <w:b w:val="0"/>
                <w:sz w:val="18"/>
              </w:rPr>
              <w:t>Unbilled revenue, payment lag, recovery, billing delays</w:t>
            </w:r>
          </w:p>
        </w:tc>
        <w:tc>
          <w:tcPr>
            <w:tcW w:type="dxa" w:w="3360"/>
            <w:vAlign w:val="center"/>
          </w:tcPr>
          <w:p>
            <w:pPr>
              <w:spacing w:after="0"/>
            </w:pPr>
            <w:r/>
            <w:r>
              <w:rPr>
                <w:b w:val="0"/>
                <w:sz w:val="18"/>
              </w:rPr>
              <w:t>Where could revenue realization be delayed or lost?</w:t>
            </w:r>
          </w:p>
        </w:tc>
      </w:tr>
      <w:tr>
        <w:tc>
          <w:tcPr>
            <w:tcW w:type="dxa" w:w="3360"/>
            <w:vAlign w:val="center"/>
          </w:tcPr>
          <w:p>
            <w:pPr>
              <w:spacing w:after="0"/>
            </w:pPr>
            <w:r/>
            <w:r>
              <w:rPr>
                <w:b w:val="0"/>
                <w:sz w:val="18"/>
              </w:rPr>
              <w:t>3. Claims Rejection Tracker</w:t>
            </w:r>
          </w:p>
        </w:tc>
        <w:tc>
          <w:tcPr>
            <w:tcW w:type="dxa" w:w="3360"/>
            <w:vAlign w:val="center"/>
          </w:tcPr>
          <w:p>
            <w:pPr>
              <w:spacing w:after="0"/>
            </w:pPr>
            <w:r/>
            <w:r>
              <w:rPr>
                <w:b w:val="0"/>
                <w:sz w:val="18"/>
              </w:rPr>
              <w:t>Claim status, denial reasons, payer mix, high-risk claims</w:t>
            </w:r>
          </w:p>
        </w:tc>
        <w:tc>
          <w:tcPr>
            <w:tcW w:type="dxa" w:w="3360"/>
            <w:vAlign w:val="center"/>
          </w:tcPr>
          <w:p>
            <w:pPr>
              <w:spacing w:after="0"/>
            </w:pPr>
            <w:r/>
            <w:r>
              <w:rPr>
                <w:b w:val="0"/>
                <w:sz w:val="18"/>
              </w:rPr>
              <w:t>How are claims performing and what is driving rejection?</w:t>
            </w:r>
          </w:p>
        </w:tc>
      </w:tr>
      <w:tr>
        <w:tc>
          <w:tcPr>
            <w:tcW w:type="dxa" w:w="3360"/>
            <w:vAlign w:val="center"/>
          </w:tcPr>
          <w:p>
            <w:pPr>
              <w:spacing w:after="0"/>
            </w:pPr>
            <w:r/>
            <w:r>
              <w:rPr>
                <w:b w:val="0"/>
                <w:sz w:val="18"/>
              </w:rPr>
              <w:t>4. Hospital Operations &amp; Patient Flow</w:t>
            </w:r>
          </w:p>
        </w:tc>
        <w:tc>
          <w:tcPr>
            <w:tcW w:type="dxa" w:w="3360"/>
            <w:vAlign w:val="center"/>
          </w:tcPr>
          <w:p>
            <w:pPr>
              <w:spacing w:after="0"/>
            </w:pPr>
            <w:r/>
            <w:r>
              <w:rPr>
                <w:b w:val="0"/>
                <w:sz w:val="18"/>
              </w:rPr>
              <w:t>Visits, emergency intake, treatment time, department activity</w:t>
            </w:r>
          </w:p>
        </w:tc>
        <w:tc>
          <w:tcPr>
            <w:tcW w:type="dxa" w:w="3360"/>
            <w:vAlign w:val="center"/>
          </w:tcPr>
          <w:p>
            <w:pPr>
              <w:spacing w:after="0"/>
            </w:pPr>
            <w:r/>
            <w:r>
              <w:rPr>
                <w:b w:val="0"/>
                <w:sz w:val="18"/>
              </w:rPr>
              <w:t>How is patient demand translating into operational workload?</w:t>
            </w:r>
          </w:p>
        </w:tc>
      </w:tr>
    </w:tbl>
    <w:p>
      <w:pPr>
        <w:spacing w:after="40"/>
      </w:pPr>
    </w:p>
    <w:p>
      <w:pPr>
        <w:pStyle w:val="Heading1"/>
      </w:pPr>
      <w:r>
        <w:t>6. Dashboard KPI Snapshot</w:t>
      </w:r>
    </w:p>
    <w:p>
      <w:pPr>
        <w:spacing w:after="120"/>
      </w:pPr>
      <w:r>
        <w:t>The following values are taken from the supplied dashboard PDF as displayed in the report visuals. They are presented as dashboard-reported KPIs rather than recalculated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b/>
                <w:sz w:val="19"/>
              </w:rPr>
              <w:t>KPI</w:t>
            </w:r>
          </w:p>
        </w:tc>
        <w:tc>
          <w:tcPr>
            <w:tcW w:type="dxa" w:w="3360"/>
            <w:vAlign w:val="center"/>
            <w:shd w:fill="D9EAF7"/>
          </w:tcPr>
          <w:p>
            <w:pPr>
              <w:spacing w:after="0"/>
            </w:pPr>
            <w:r/>
            <w:r>
              <w:rPr>
                <w:b/>
                <w:sz w:val="19"/>
              </w:rPr>
              <w:t>Dashboard Display</w:t>
            </w:r>
          </w:p>
        </w:tc>
        <w:tc>
          <w:tcPr>
            <w:tcW w:type="dxa" w:w="3360"/>
            <w:vAlign w:val="center"/>
            <w:shd w:fill="D9EAF7"/>
          </w:tcPr>
          <w:p>
            <w:pPr>
              <w:spacing w:after="0"/>
            </w:pPr>
            <w:r/>
            <w:r>
              <w:rPr>
                <w:b/>
                <w:sz w:val="19"/>
              </w:rPr>
              <w:t>Business Meaning</w:t>
            </w:r>
          </w:p>
        </w:tc>
      </w:tr>
      <w:tr>
        <w:tc>
          <w:tcPr>
            <w:tcW w:type="dxa" w:w="3360"/>
            <w:vAlign w:val="center"/>
          </w:tcPr>
          <w:p>
            <w:pPr>
              <w:spacing w:after="0"/>
            </w:pPr>
            <w:r/>
            <w:r>
              <w:rPr>
                <w:b w:val="0"/>
                <w:sz w:val="18"/>
              </w:rPr>
              <w:t>Total Revenue</w:t>
            </w:r>
          </w:p>
        </w:tc>
        <w:tc>
          <w:tcPr>
            <w:tcW w:type="dxa" w:w="3360"/>
            <w:vAlign w:val="center"/>
          </w:tcPr>
          <w:p>
            <w:pPr>
              <w:spacing w:after="0"/>
            </w:pPr>
            <w:r/>
            <w:r>
              <w:rPr>
                <w:b w:val="0"/>
                <w:sz w:val="18"/>
              </w:rPr>
              <w:t>₹452.61M</w:t>
            </w:r>
          </w:p>
        </w:tc>
        <w:tc>
          <w:tcPr>
            <w:tcW w:type="dxa" w:w="3360"/>
            <w:vAlign w:val="center"/>
          </w:tcPr>
          <w:p>
            <w:pPr>
              <w:spacing w:after="0"/>
            </w:pPr>
            <w:r/>
            <w:r>
              <w:rPr>
                <w:b w:val="0"/>
                <w:sz w:val="18"/>
              </w:rPr>
              <w:t>Overall revenue view presented to management</w:t>
            </w:r>
          </w:p>
        </w:tc>
      </w:tr>
      <w:tr>
        <w:tc>
          <w:tcPr>
            <w:tcW w:type="dxa" w:w="3360"/>
            <w:vAlign w:val="center"/>
          </w:tcPr>
          <w:p>
            <w:pPr>
              <w:spacing w:after="0"/>
            </w:pPr>
            <w:r/>
            <w:r>
              <w:rPr>
                <w:b w:val="0"/>
                <w:sz w:val="18"/>
              </w:rPr>
              <w:t>Total Visits</w:t>
            </w:r>
          </w:p>
        </w:tc>
        <w:tc>
          <w:tcPr>
            <w:tcW w:type="dxa" w:w="3360"/>
            <w:vAlign w:val="center"/>
          </w:tcPr>
          <w:p>
            <w:pPr>
              <w:spacing w:after="0"/>
            </w:pPr>
            <w:r/>
            <w:r>
              <w:rPr>
                <w:b w:val="0"/>
                <w:sz w:val="18"/>
              </w:rPr>
              <w:t>8K</w:t>
            </w:r>
          </w:p>
        </w:tc>
        <w:tc>
          <w:tcPr>
            <w:tcW w:type="dxa" w:w="3360"/>
            <w:vAlign w:val="center"/>
          </w:tcPr>
          <w:p>
            <w:pPr>
              <w:spacing w:after="0"/>
            </w:pPr>
            <w:r/>
            <w:r>
              <w:rPr>
                <w:b w:val="0"/>
                <w:sz w:val="18"/>
              </w:rPr>
              <w:t>Patient-visit volume represented in the dashboard</w:t>
            </w:r>
          </w:p>
        </w:tc>
      </w:tr>
      <w:tr>
        <w:tc>
          <w:tcPr>
            <w:tcW w:type="dxa" w:w="3360"/>
            <w:vAlign w:val="center"/>
          </w:tcPr>
          <w:p>
            <w:pPr>
              <w:spacing w:after="0"/>
            </w:pPr>
            <w:r/>
            <w:r>
              <w:rPr>
                <w:b w:val="0"/>
                <w:sz w:val="18"/>
              </w:rPr>
              <w:t>Emergency Intake</w:t>
            </w:r>
          </w:p>
        </w:tc>
        <w:tc>
          <w:tcPr>
            <w:tcW w:type="dxa" w:w="3360"/>
            <w:vAlign w:val="center"/>
          </w:tcPr>
          <w:p>
            <w:pPr>
              <w:spacing w:after="0"/>
            </w:pPr>
            <w:r/>
            <w:r>
              <w:rPr>
                <w:b w:val="0"/>
                <w:sz w:val="18"/>
              </w:rPr>
              <w:t>2K</w:t>
            </w:r>
          </w:p>
        </w:tc>
        <w:tc>
          <w:tcPr>
            <w:tcW w:type="dxa" w:w="3360"/>
            <w:vAlign w:val="center"/>
          </w:tcPr>
          <w:p>
            <w:pPr>
              <w:spacing w:after="0"/>
            </w:pPr>
            <w:r/>
            <w:r>
              <w:rPr>
                <w:b w:val="0"/>
                <w:sz w:val="18"/>
              </w:rPr>
              <w:t>Emergency/urgent intake volume indicator</w:t>
            </w:r>
          </w:p>
        </w:tc>
      </w:tr>
      <w:tr>
        <w:tc>
          <w:tcPr>
            <w:tcW w:type="dxa" w:w="3360"/>
            <w:vAlign w:val="center"/>
          </w:tcPr>
          <w:p>
            <w:pPr>
              <w:spacing w:after="0"/>
            </w:pPr>
            <w:r/>
            <w:r>
              <w:rPr>
                <w:b w:val="0"/>
                <w:sz w:val="18"/>
              </w:rPr>
              <w:t>Total Unbilled</w:t>
            </w:r>
          </w:p>
        </w:tc>
        <w:tc>
          <w:tcPr>
            <w:tcW w:type="dxa" w:w="3360"/>
            <w:vAlign w:val="center"/>
          </w:tcPr>
          <w:p>
            <w:pPr>
              <w:spacing w:after="0"/>
            </w:pPr>
            <w:r/>
            <w:r>
              <w:rPr>
                <w:b w:val="0"/>
                <w:sz w:val="18"/>
              </w:rPr>
              <w:t>₹50.32M</w:t>
            </w:r>
          </w:p>
        </w:tc>
        <w:tc>
          <w:tcPr>
            <w:tcW w:type="dxa" w:w="3360"/>
            <w:vAlign w:val="center"/>
          </w:tcPr>
          <w:p>
            <w:pPr>
              <w:spacing w:after="0"/>
            </w:pPr>
            <w:r/>
            <w:r>
              <w:rPr>
                <w:b w:val="0"/>
                <w:sz w:val="18"/>
              </w:rPr>
              <w:t>Revenue currently identified as unbilled</w:t>
            </w:r>
          </w:p>
        </w:tc>
      </w:tr>
      <w:tr>
        <w:tc>
          <w:tcPr>
            <w:tcW w:type="dxa" w:w="3360"/>
            <w:vAlign w:val="center"/>
          </w:tcPr>
          <w:p>
            <w:pPr>
              <w:spacing w:after="0"/>
            </w:pPr>
            <w:r/>
            <w:r>
              <w:rPr>
                <w:b w:val="0"/>
                <w:sz w:val="18"/>
              </w:rPr>
              <w:t>Unbilled %</w:t>
            </w:r>
          </w:p>
        </w:tc>
        <w:tc>
          <w:tcPr>
            <w:tcW w:type="dxa" w:w="3360"/>
            <w:vAlign w:val="center"/>
          </w:tcPr>
          <w:p>
            <w:pPr>
              <w:spacing w:after="0"/>
            </w:pPr>
            <w:r/>
            <w:r>
              <w:rPr>
                <w:b w:val="0"/>
                <w:sz w:val="18"/>
              </w:rPr>
              <w:t>0.11</w:t>
            </w:r>
          </w:p>
        </w:tc>
        <w:tc>
          <w:tcPr>
            <w:tcW w:type="dxa" w:w="3360"/>
            <w:vAlign w:val="center"/>
          </w:tcPr>
          <w:p>
            <w:pPr>
              <w:spacing w:after="0"/>
            </w:pPr>
            <w:r/>
            <w:r>
              <w:rPr>
                <w:b w:val="0"/>
                <w:sz w:val="18"/>
              </w:rPr>
              <w:t>Dashboard leakage indicator</w:t>
            </w:r>
          </w:p>
        </w:tc>
      </w:tr>
      <w:tr>
        <w:tc>
          <w:tcPr>
            <w:tcW w:type="dxa" w:w="3360"/>
            <w:vAlign w:val="center"/>
          </w:tcPr>
          <w:p>
            <w:pPr>
              <w:spacing w:after="0"/>
            </w:pPr>
            <w:r/>
            <w:r>
              <w:rPr>
                <w:b w:val="0"/>
                <w:sz w:val="18"/>
              </w:rPr>
              <w:t>Average Payment Lag</w:t>
            </w:r>
          </w:p>
        </w:tc>
        <w:tc>
          <w:tcPr>
            <w:tcW w:type="dxa" w:w="3360"/>
            <w:vAlign w:val="center"/>
          </w:tcPr>
          <w:p>
            <w:pPr>
              <w:spacing w:after="0"/>
            </w:pPr>
            <w:r/>
            <w:r>
              <w:rPr>
                <w:b w:val="0"/>
                <w:sz w:val="18"/>
              </w:rPr>
              <w:t>25.53 days</w:t>
            </w:r>
          </w:p>
        </w:tc>
        <w:tc>
          <w:tcPr>
            <w:tcW w:type="dxa" w:w="3360"/>
            <w:vAlign w:val="center"/>
          </w:tcPr>
          <w:p>
            <w:pPr>
              <w:spacing w:after="0"/>
            </w:pPr>
            <w:r/>
            <w:r>
              <w:rPr>
                <w:b w:val="0"/>
                <w:sz w:val="18"/>
              </w:rPr>
              <w:t>Average payment-delay indicator</w:t>
            </w:r>
          </w:p>
        </w:tc>
      </w:tr>
      <w:tr>
        <w:tc>
          <w:tcPr>
            <w:tcW w:type="dxa" w:w="3360"/>
            <w:vAlign w:val="center"/>
          </w:tcPr>
          <w:p>
            <w:pPr>
              <w:spacing w:after="0"/>
            </w:pPr>
            <w:r/>
            <w:r>
              <w:rPr>
                <w:b w:val="0"/>
                <w:sz w:val="18"/>
              </w:rPr>
              <w:t>Net Recoverable Revenue</w:t>
            </w:r>
          </w:p>
        </w:tc>
        <w:tc>
          <w:tcPr>
            <w:tcW w:type="dxa" w:w="3360"/>
            <w:vAlign w:val="center"/>
          </w:tcPr>
          <w:p>
            <w:pPr>
              <w:spacing w:after="0"/>
            </w:pPr>
            <w:r/>
            <w:r>
              <w:rPr>
                <w:b w:val="0"/>
                <w:sz w:val="18"/>
              </w:rPr>
              <w:t>₹402.28M</w:t>
            </w:r>
          </w:p>
        </w:tc>
        <w:tc>
          <w:tcPr>
            <w:tcW w:type="dxa" w:w="3360"/>
            <w:vAlign w:val="center"/>
          </w:tcPr>
          <w:p>
            <w:pPr>
              <w:spacing w:after="0"/>
            </w:pPr>
            <w:r/>
            <w:r>
              <w:rPr>
                <w:b w:val="0"/>
                <w:sz w:val="18"/>
              </w:rPr>
              <w:t>Revenue shown after the dashboard's leakage/recovery view</w:t>
            </w:r>
          </w:p>
        </w:tc>
      </w:tr>
      <w:tr>
        <w:tc>
          <w:tcPr>
            <w:tcW w:type="dxa" w:w="3360"/>
            <w:vAlign w:val="center"/>
          </w:tcPr>
          <w:p>
            <w:pPr>
              <w:spacing w:after="0"/>
            </w:pPr>
            <w:r/>
            <w:r>
              <w:rPr>
                <w:b w:val="0"/>
                <w:sz w:val="18"/>
              </w:rPr>
              <w:t>Total Claims</w:t>
            </w:r>
          </w:p>
        </w:tc>
        <w:tc>
          <w:tcPr>
            <w:tcW w:type="dxa" w:w="3360"/>
            <w:vAlign w:val="center"/>
          </w:tcPr>
          <w:p>
            <w:pPr>
              <w:spacing w:after="0"/>
            </w:pPr>
            <w:r/>
            <w:r>
              <w:rPr>
                <w:b w:val="0"/>
                <w:sz w:val="18"/>
              </w:rPr>
              <w:t>8K</w:t>
            </w:r>
          </w:p>
        </w:tc>
        <w:tc>
          <w:tcPr>
            <w:tcW w:type="dxa" w:w="3360"/>
            <w:vAlign w:val="center"/>
          </w:tcPr>
          <w:p>
            <w:pPr>
              <w:spacing w:after="0"/>
            </w:pPr>
            <w:r/>
            <w:r>
              <w:rPr>
                <w:b w:val="0"/>
                <w:sz w:val="18"/>
              </w:rPr>
              <w:t>Claims volume shown in the tracker</w:t>
            </w:r>
          </w:p>
        </w:tc>
      </w:tr>
      <w:tr>
        <w:tc>
          <w:tcPr>
            <w:tcW w:type="dxa" w:w="3360"/>
            <w:vAlign w:val="center"/>
          </w:tcPr>
          <w:p>
            <w:pPr>
              <w:spacing w:after="0"/>
            </w:pPr>
            <w:r/>
            <w:r>
              <w:rPr>
                <w:b w:val="0"/>
                <w:sz w:val="18"/>
              </w:rPr>
              <w:t>Approved Claims</w:t>
            </w:r>
          </w:p>
        </w:tc>
        <w:tc>
          <w:tcPr>
            <w:tcW w:type="dxa" w:w="3360"/>
            <w:vAlign w:val="center"/>
          </w:tcPr>
          <w:p>
            <w:pPr>
              <w:spacing w:after="0"/>
            </w:pPr>
            <w:r/>
            <w:r>
              <w:rPr>
                <w:b w:val="0"/>
                <w:sz w:val="18"/>
              </w:rPr>
              <w:t>4K</w:t>
            </w:r>
          </w:p>
        </w:tc>
        <w:tc>
          <w:tcPr>
            <w:tcW w:type="dxa" w:w="3360"/>
            <w:vAlign w:val="center"/>
          </w:tcPr>
          <w:p>
            <w:pPr>
              <w:spacing w:after="0"/>
            </w:pPr>
            <w:r/>
            <w:r>
              <w:rPr>
                <w:b w:val="0"/>
                <w:sz w:val="18"/>
              </w:rPr>
              <w:t>Approved claim volume displayed</w:t>
            </w:r>
          </w:p>
        </w:tc>
      </w:tr>
      <w:tr>
        <w:tc>
          <w:tcPr>
            <w:tcW w:type="dxa" w:w="3360"/>
            <w:vAlign w:val="center"/>
          </w:tcPr>
          <w:p>
            <w:pPr>
              <w:spacing w:after="0"/>
            </w:pPr>
            <w:r/>
            <w:r>
              <w:rPr>
                <w:b w:val="0"/>
                <w:sz w:val="18"/>
              </w:rPr>
              <w:t>Denied Claims</w:t>
            </w:r>
          </w:p>
        </w:tc>
        <w:tc>
          <w:tcPr>
            <w:tcW w:type="dxa" w:w="3360"/>
            <w:vAlign w:val="center"/>
          </w:tcPr>
          <w:p>
            <w:pPr>
              <w:spacing w:after="0"/>
            </w:pPr>
            <w:r/>
            <w:r>
              <w:rPr>
                <w:b w:val="0"/>
                <w:sz w:val="18"/>
              </w:rPr>
              <w:t>691</w:t>
            </w:r>
          </w:p>
        </w:tc>
        <w:tc>
          <w:tcPr>
            <w:tcW w:type="dxa" w:w="3360"/>
            <w:vAlign w:val="center"/>
          </w:tcPr>
          <w:p>
            <w:pPr>
              <w:spacing w:after="0"/>
            </w:pPr>
            <w:r/>
            <w:r>
              <w:rPr>
                <w:b w:val="0"/>
                <w:sz w:val="18"/>
              </w:rPr>
              <w:t>Denied claim count displayed</w:t>
            </w:r>
          </w:p>
        </w:tc>
      </w:tr>
      <w:tr>
        <w:tc>
          <w:tcPr>
            <w:tcW w:type="dxa" w:w="3360"/>
            <w:vAlign w:val="center"/>
          </w:tcPr>
          <w:p>
            <w:pPr>
              <w:spacing w:after="0"/>
            </w:pPr>
            <w:r/>
            <w:r>
              <w:rPr>
                <w:b w:val="0"/>
                <w:sz w:val="18"/>
              </w:rPr>
              <w:t>Denial Rate</w:t>
            </w:r>
          </w:p>
        </w:tc>
        <w:tc>
          <w:tcPr>
            <w:tcW w:type="dxa" w:w="3360"/>
            <w:vAlign w:val="center"/>
          </w:tcPr>
          <w:p>
            <w:pPr>
              <w:spacing w:after="0"/>
            </w:pPr>
            <w:r/>
            <w:r>
              <w:rPr>
                <w:b w:val="0"/>
                <w:sz w:val="18"/>
              </w:rPr>
              <w:t>8.63%</w:t>
            </w:r>
          </w:p>
        </w:tc>
        <w:tc>
          <w:tcPr>
            <w:tcW w:type="dxa" w:w="3360"/>
            <w:vAlign w:val="center"/>
          </w:tcPr>
          <w:p>
            <w:pPr>
              <w:spacing w:after="0"/>
            </w:pPr>
            <w:r/>
            <w:r>
              <w:rPr>
                <w:b w:val="0"/>
                <w:sz w:val="18"/>
              </w:rPr>
              <w:t>Displayed denied-claim proportion</w:t>
            </w:r>
          </w:p>
        </w:tc>
      </w:tr>
      <w:tr>
        <w:tc>
          <w:tcPr>
            <w:tcW w:type="dxa" w:w="3360"/>
            <w:vAlign w:val="center"/>
          </w:tcPr>
          <w:p>
            <w:pPr>
              <w:spacing w:after="0"/>
            </w:pPr>
            <w:r/>
            <w:r>
              <w:rPr>
                <w:b w:val="0"/>
                <w:sz w:val="18"/>
              </w:rPr>
              <w:t>Avg Treatment Time</w:t>
            </w:r>
          </w:p>
        </w:tc>
        <w:tc>
          <w:tcPr>
            <w:tcW w:type="dxa" w:w="3360"/>
            <w:vAlign w:val="center"/>
          </w:tcPr>
          <w:p>
            <w:pPr>
              <w:spacing w:after="0"/>
            </w:pPr>
            <w:r/>
            <w:r>
              <w:rPr>
                <w:b w:val="0"/>
                <w:sz w:val="18"/>
              </w:rPr>
              <w:t>2.66 days</w:t>
            </w:r>
          </w:p>
        </w:tc>
        <w:tc>
          <w:tcPr>
            <w:tcW w:type="dxa" w:w="3360"/>
            <w:vAlign w:val="center"/>
          </w:tcPr>
          <w:p>
            <w:pPr>
              <w:spacing w:after="0"/>
            </w:pPr>
            <w:r/>
            <w:r>
              <w:rPr>
                <w:b w:val="0"/>
                <w:sz w:val="18"/>
              </w:rPr>
              <w:t>Average treatment duration displayed</w:t>
            </w:r>
          </w:p>
        </w:tc>
      </w:tr>
    </w:tbl>
    <w:p>
      <w:pPr>
        <w:spacing w:after="40"/>
      </w:pPr>
    </w:p>
    <w:p>
      <w:pPr>
        <w:pStyle w:val="Heading1"/>
      </w:pPr>
      <w:r>
        <w:t>7. Page 1 — Executive Operations</w:t>
      </w:r>
    </w:p>
    <w:p>
      <w:pPr>
        <w:spacing w:after="120"/>
      </w:pPr>
      <w:r>
        <w:t>The Executive Operations page is the management entry point. It combines headline KPIs with trend and mix visuals so that users can quickly understand revenue, patient activity, and major sources of hospital income.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Analysis</w:t>
            </w:r>
          </w:p>
        </w:tc>
        <w:tc>
          <w:tcPr>
            <w:tcW w:type="dxa" w:w="5040"/>
            <w:vAlign w:val="center"/>
            <w:shd w:fill="D9EAF7"/>
          </w:tcPr>
          <w:p>
            <w:pPr>
              <w:spacing w:after="0"/>
            </w:pPr>
            <w:r/>
            <w:r>
              <w:rPr>
                <w:b/>
                <w:sz w:val="19"/>
              </w:rPr>
              <w:t>Dashboard Finding</w:t>
            </w:r>
          </w:p>
        </w:tc>
      </w:tr>
      <w:tr>
        <w:tc>
          <w:tcPr>
            <w:tcW w:type="dxa" w:w="5040"/>
            <w:vAlign w:val="center"/>
          </w:tcPr>
          <w:p>
            <w:pPr>
              <w:spacing w:after="0"/>
            </w:pPr>
            <w:r/>
            <w:r>
              <w:rPr>
                <w:b w:val="0"/>
                <w:sz w:val="18"/>
              </w:rPr>
              <w:t>Revenue trend</w:t>
            </w:r>
          </w:p>
        </w:tc>
        <w:tc>
          <w:tcPr>
            <w:tcW w:type="dxa" w:w="5040"/>
            <w:vAlign w:val="center"/>
          </w:tcPr>
          <w:p>
            <w:pPr>
              <w:spacing w:after="0"/>
            </w:pPr>
            <w:r/>
            <w:r>
              <w:rPr>
                <w:b w:val="0"/>
                <w:sz w:val="18"/>
              </w:rPr>
              <w:t>Revenue is shown alongside patient-volume movement across 2025–2026.</w:t>
            </w:r>
          </w:p>
        </w:tc>
      </w:tr>
      <w:tr>
        <w:tc>
          <w:tcPr>
            <w:tcW w:type="dxa" w:w="5040"/>
            <w:vAlign w:val="center"/>
          </w:tcPr>
          <w:p>
            <w:pPr>
              <w:spacing w:after="0"/>
            </w:pPr>
            <w:r/>
            <w:r>
              <w:rPr>
                <w:b w:val="0"/>
                <w:sz w:val="18"/>
              </w:rPr>
              <w:t>Department revenue</w:t>
            </w:r>
          </w:p>
        </w:tc>
        <w:tc>
          <w:tcPr>
            <w:tcW w:type="dxa" w:w="5040"/>
            <w:vAlign w:val="center"/>
          </w:tcPr>
          <w:p>
            <w:pPr>
              <w:spacing w:after="0"/>
            </w:pPr>
            <w:r/>
            <w:r>
              <w:rPr>
                <w:b w:val="0"/>
                <w:sz w:val="18"/>
              </w:rPr>
              <w:t>ICU, Surgery, Emergency, Radiology and Pharmacy are compared; the dashboard also displays OPD in the revenue mix.</w:t>
            </w:r>
          </w:p>
        </w:tc>
      </w:tr>
      <w:tr>
        <w:tc>
          <w:tcPr>
            <w:tcW w:type="dxa" w:w="5040"/>
            <w:vAlign w:val="center"/>
          </w:tcPr>
          <w:p>
            <w:pPr>
              <w:spacing w:after="0"/>
            </w:pPr>
            <w:r/>
            <w:r>
              <w:rPr>
                <w:b w:val="0"/>
                <w:sz w:val="18"/>
              </w:rPr>
              <w:t>Payment mode</w:t>
            </w:r>
          </w:p>
        </w:tc>
        <w:tc>
          <w:tcPr>
            <w:tcW w:type="dxa" w:w="5040"/>
            <w:vAlign w:val="center"/>
          </w:tcPr>
          <w:p>
            <w:pPr>
              <w:spacing w:after="0"/>
            </w:pPr>
            <w:r/>
            <w:r>
              <w:rPr>
                <w:b w:val="0"/>
                <w:sz w:val="18"/>
              </w:rPr>
              <w:t>Self-Pay, Private Insurance and Government Health Schemes are compared by revenue.</w:t>
            </w:r>
          </w:p>
        </w:tc>
      </w:tr>
      <w:tr>
        <w:tc>
          <w:tcPr>
            <w:tcW w:type="dxa" w:w="5040"/>
            <w:vAlign w:val="center"/>
          </w:tcPr>
          <w:p>
            <w:pPr>
              <w:spacing w:after="0"/>
            </w:pPr>
            <w:r/>
            <w:r>
              <w:rPr>
                <w:b w:val="0"/>
                <w:sz w:val="18"/>
              </w:rPr>
              <w:t>Visit type</w:t>
            </w:r>
          </w:p>
        </w:tc>
        <w:tc>
          <w:tcPr>
            <w:tcW w:type="dxa" w:w="5040"/>
            <w:vAlign w:val="center"/>
          </w:tcPr>
          <w:p>
            <w:pPr>
              <w:spacing w:after="0"/>
            </w:pPr>
            <w:r/>
            <w:r>
              <w:rPr>
                <w:b w:val="0"/>
                <w:sz w:val="18"/>
              </w:rPr>
              <w:t>OPD, IPD and ER revenue contribution is shown.</w:t>
            </w:r>
          </w:p>
        </w:tc>
      </w:tr>
      <w:tr>
        <w:tc>
          <w:tcPr>
            <w:tcW w:type="dxa" w:w="5040"/>
            <w:vAlign w:val="center"/>
          </w:tcPr>
          <w:p>
            <w:pPr>
              <w:spacing w:after="0"/>
            </w:pPr>
            <w:r/>
            <w:r>
              <w:rPr>
                <w:b w:val="0"/>
                <w:sz w:val="18"/>
              </w:rPr>
              <w:t>Interactive slicing</w:t>
            </w:r>
          </w:p>
        </w:tc>
        <w:tc>
          <w:tcPr>
            <w:tcW w:type="dxa" w:w="5040"/>
            <w:vAlign w:val="center"/>
          </w:tcPr>
          <w:p>
            <w:pPr>
              <w:spacing w:after="0"/>
            </w:pPr>
            <w:r/>
            <w:r>
              <w:rPr>
                <w:b w:val="0"/>
                <w:sz w:val="18"/>
              </w:rPr>
              <w:t>Department and Month filters support focused analysis.</w:t>
            </w:r>
          </w:p>
        </w:tc>
      </w:tr>
    </w:tbl>
    <w:p>
      <w:pPr>
        <w:spacing w:after="40"/>
      </w:pPr>
    </w:p>
    <w:p>
      <w:pPr>
        <w:spacing w:after="120"/>
      </w:pPr>
      <w:r>
        <w:t>The displayed revenue-by-department values show ICU at approximately ₹243M and Surgery at approximately ₹156M, followed by Emergency, Radiology, Pharmacy and OPD. The dashboard therefore gives management an immediate view of which service areas contribute materially to the displayed revenue.</w:t>
      </w:r>
    </w:p>
    <w:p>
      <w:pPr>
        <w:spacing w:after="120"/>
      </w:pPr>
      <w:r>
        <w:t>For payment mode, the dashboard displays approximately ₹154.31M from Self-Pay, ₹149.40M from Private Insurance and ₹148.89M from Government Health Schemes. By visit type, OPD contributes approximately ₹233.4M, IPD ₹130.7M and ER ₹88.5M in the displayed view.</w:t>
      </w:r>
    </w:p>
    <w:p>
      <w:pPr>
        <w:pStyle w:val="Heading1"/>
      </w:pPr>
      <w:r>
        <w:t>8. Page 2 — Revenue Leakage Analytics</w:t>
      </w:r>
    </w:p>
    <w:p>
      <w:pPr>
        <w:spacing w:after="120"/>
      </w:pPr>
      <w:r>
        <w:t>Revenue Leakage Analytics moves from 'how much revenue exists?' to 'how much revenue may not yet be realized?'. It focuses on unbilled services, payment delays, recoverable revenue, and the operational reasons behind billing delays.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Metric / Visual</w:t>
            </w:r>
          </w:p>
        </w:tc>
        <w:tc>
          <w:tcPr>
            <w:tcW w:type="dxa" w:w="5040"/>
            <w:vAlign w:val="center"/>
            <w:shd w:fill="D9EAF7"/>
          </w:tcPr>
          <w:p>
            <w:pPr>
              <w:spacing w:after="0"/>
            </w:pPr>
            <w:r/>
            <w:r>
              <w:rPr>
                <w:b/>
                <w:sz w:val="19"/>
              </w:rPr>
              <w:t>Dashboard Finding</w:t>
            </w:r>
          </w:p>
        </w:tc>
      </w:tr>
      <w:tr>
        <w:tc>
          <w:tcPr>
            <w:tcW w:type="dxa" w:w="5040"/>
            <w:vAlign w:val="center"/>
          </w:tcPr>
          <w:p>
            <w:pPr>
              <w:spacing w:after="0"/>
            </w:pPr>
            <w:r/>
            <w:r>
              <w:rPr>
                <w:b w:val="0"/>
                <w:sz w:val="18"/>
              </w:rPr>
              <w:t>Total Unbilled</w:t>
            </w:r>
          </w:p>
        </w:tc>
        <w:tc>
          <w:tcPr>
            <w:tcW w:type="dxa" w:w="5040"/>
            <w:vAlign w:val="center"/>
          </w:tcPr>
          <w:p>
            <w:pPr>
              <w:spacing w:after="0"/>
            </w:pPr>
            <w:r/>
            <w:r>
              <w:rPr>
                <w:b w:val="0"/>
                <w:sz w:val="18"/>
              </w:rPr>
              <w:t>₹50.32M</w:t>
            </w:r>
          </w:p>
        </w:tc>
      </w:tr>
      <w:tr>
        <w:tc>
          <w:tcPr>
            <w:tcW w:type="dxa" w:w="5040"/>
            <w:vAlign w:val="center"/>
          </w:tcPr>
          <w:p>
            <w:pPr>
              <w:spacing w:after="0"/>
            </w:pPr>
            <w:r/>
            <w:r>
              <w:rPr>
                <w:b w:val="0"/>
                <w:sz w:val="18"/>
              </w:rPr>
              <w:t>Unbilled %</w:t>
            </w:r>
          </w:p>
        </w:tc>
        <w:tc>
          <w:tcPr>
            <w:tcW w:type="dxa" w:w="5040"/>
            <w:vAlign w:val="center"/>
          </w:tcPr>
          <w:p>
            <w:pPr>
              <w:spacing w:after="0"/>
            </w:pPr>
            <w:r/>
            <w:r>
              <w:rPr>
                <w:b w:val="0"/>
                <w:sz w:val="18"/>
              </w:rPr>
              <w:t>0.11</w:t>
            </w:r>
          </w:p>
        </w:tc>
      </w:tr>
      <w:tr>
        <w:tc>
          <w:tcPr>
            <w:tcW w:type="dxa" w:w="5040"/>
            <w:vAlign w:val="center"/>
          </w:tcPr>
          <w:p>
            <w:pPr>
              <w:spacing w:after="0"/>
            </w:pPr>
            <w:r/>
            <w:r>
              <w:rPr>
                <w:b w:val="0"/>
                <w:sz w:val="18"/>
              </w:rPr>
              <w:t>Average Payment Lag</w:t>
            </w:r>
          </w:p>
        </w:tc>
        <w:tc>
          <w:tcPr>
            <w:tcW w:type="dxa" w:w="5040"/>
            <w:vAlign w:val="center"/>
          </w:tcPr>
          <w:p>
            <w:pPr>
              <w:spacing w:after="0"/>
            </w:pPr>
            <w:r/>
            <w:r>
              <w:rPr>
                <w:b w:val="0"/>
                <w:sz w:val="18"/>
              </w:rPr>
              <w:t>25.53 days</w:t>
            </w:r>
          </w:p>
        </w:tc>
      </w:tr>
      <w:tr>
        <w:tc>
          <w:tcPr>
            <w:tcW w:type="dxa" w:w="5040"/>
            <w:vAlign w:val="center"/>
          </w:tcPr>
          <w:p>
            <w:pPr>
              <w:spacing w:after="0"/>
            </w:pPr>
            <w:r/>
            <w:r>
              <w:rPr>
                <w:b w:val="0"/>
                <w:sz w:val="18"/>
              </w:rPr>
              <w:t>Net Recoverable Revenue</w:t>
            </w:r>
          </w:p>
        </w:tc>
        <w:tc>
          <w:tcPr>
            <w:tcW w:type="dxa" w:w="5040"/>
            <w:vAlign w:val="center"/>
          </w:tcPr>
          <w:p>
            <w:pPr>
              <w:spacing w:after="0"/>
            </w:pPr>
            <w:r/>
            <w:r>
              <w:rPr>
                <w:b w:val="0"/>
                <w:sz w:val="18"/>
              </w:rPr>
              <w:t>₹402.28M</w:t>
            </w:r>
          </w:p>
        </w:tc>
      </w:tr>
      <w:tr>
        <w:tc>
          <w:tcPr>
            <w:tcW w:type="dxa" w:w="5040"/>
            <w:vAlign w:val="center"/>
          </w:tcPr>
          <w:p>
            <w:pPr>
              <w:spacing w:after="0"/>
            </w:pPr>
            <w:r/>
            <w:r>
              <w:rPr>
                <w:b w:val="0"/>
                <w:sz w:val="18"/>
              </w:rPr>
              <w:t>Unbilled by Department</w:t>
            </w:r>
          </w:p>
        </w:tc>
        <w:tc>
          <w:tcPr>
            <w:tcW w:type="dxa" w:w="5040"/>
            <w:vAlign w:val="center"/>
          </w:tcPr>
          <w:p>
            <w:pPr>
              <w:spacing w:after="0"/>
            </w:pPr>
            <w:r/>
            <w:r>
              <w:rPr>
                <w:b w:val="0"/>
                <w:sz w:val="18"/>
              </w:rPr>
              <w:t>ICU and Surgery show the largest displayed unbilled amounts among the listed departments.</w:t>
            </w:r>
          </w:p>
        </w:tc>
      </w:tr>
      <w:tr>
        <w:tc>
          <w:tcPr>
            <w:tcW w:type="dxa" w:w="5040"/>
            <w:vAlign w:val="center"/>
          </w:tcPr>
          <w:p>
            <w:pPr>
              <w:spacing w:after="0"/>
            </w:pPr>
            <w:r/>
            <w:r>
              <w:rPr>
                <w:b w:val="0"/>
                <w:sz w:val="18"/>
              </w:rPr>
              <w:t>Delay analysis</w:t>
            </w:r>
          </w:p>
        </w:tc>
        <w:tc>
          <w:tcPr>
            <w:tcW w:type="dxa" w:w="5040"/>
            <w:vAlign w:val="center"/>
          </w:tcPr>
          <w:p>
            <w:pPr>
              <w:spacing w:after="0"/>
            </w:pPr>
            <w:r/>
            <w:r>
              <w:rPr>
                <w:b w:val="0"/>
                <w:sz w:val="18"/>
              </w:rPr>
              <w:t>The detailed table connects department, patient, procedure, unbilled amount, delay reason and payment lag.</w:t>
            </w:r>
          </w:p>
        </w:tc>
      </w:tr>
    </w:tbl>
    <w:p>
      <w:pPr>
        <w:spacing w:after="40"/>
      </w:pPr>
    </w:p>
    <w:p>
      <w:pPr>
        <w:spacing w:after="120"/>
      </w:pPr>
      <w:r>
        <w:t>The detailed unbilled-services table is particularly useful because it links a financial exception to an operational reason. Displayed examples include Coding Pending, Billing Verification Pending, Incomplete Patient File, Missing Doctor Signature, and Missing Insurance Document.</w:t>
      </w:r>
    </w:p>
    <w:tbl>
      <w:tblPr>
        <w:tblStyle w:val="TableGrid"/>
        <w:tblW w:type="auto" w:w="0"/>
        <w:tblLook w:firstColumn="1" w:firstRow="1" w:lastColumn="0" w:lastRow="0" w:noHBand="0" w:noVBand="1" w:val="04A0"/>
      </w:tblPr>
      <w:tblGrid>
        <w:gridCol w:w="10080"/>
      </w:tblGrid>
      <w:tr>
        <w:tc>
          <w:tcPr>
            <w:tcW w:type="dxa" w:w="10080"/>
            <w:shd w:fill="EEF5FA"/>
          </w:tcPr>
          <w:p>
            <w:r>
              <w:rPr>
                <w:b/>
                <w:sz w:val="21"/>
              </w:rPr>
              <w:t>Analytical value</w:t>
              <w:br/>
            </w:r>
            <w:r>
              <w:rPr>
                <w:sz w:val="19"/>
              </w:rPr>
              <w:t>A revenue-leakage dashboard becomes more actionable when it moves from an aggregate amount to exception-level records. The detailed table allows a user to trace the leakage signal to department, patient/visit context, procedure and delay reason.</w:t>
            </w:r>
          </w:p>
        </w:tc>
      </w:tr>
    </w:tbl>
    <w:p>
      <w:pPr>
        <w:spacing w:after="40"/>
      </w:pPr>
    </w:p>
    <w:p>
      <w:pPr>
        <w:pStyle w:val="Heading1"/>
      </w:pPr>
      <w:r>
        <w:t>9. Page 3 — Claims Rejection Tracker</w:t>
      </w:r>
    </w:p>
    <w:p>
      <w:pPr>
        <w:spacing w:after="120"/>
      </w:pPr>
      <w:r>
        <w:t>The Claims Rejection Tracker focuses on the post-billing insurance workflow. It provides claim-volume KPIs, status distribution, denial reasons, payer-level comparison and a high-risk claim 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Analysis</w:t>
            </w:r>
          </w:p>
        </w:tc>
        <w:tc>
          <w:tcPr>
            <w:tcW w:type="dxa" w:w="5040"/>
            <w:vAlign w:val="center"/>
            <w:shd w:fill="D9EAF7"/>
          </w:tcPr>
          <w:p>
            <w:pPr>
              <w:spacing w:after="0"/>
            </w:pPr>
            <w:r/>
            <w:r>
              <w:rPr>
                <w:b/>
                <w:sz w:val="19"/>
              </w:rPr>
              <w:t>Dashboard Finding</w:t>
            </w:r>
          </w:p>
        </w:tc>
      </w:tr>
      <w:tr>
        <w:tc>
          <w:tcPr>
            <w:tcW w:type="dxa" w:w="5040"/>
            <w:vAlign w:val="center"/>
          </w:tcPr>
          <w:p>
            <w:pPr>
              <w:spacing w:after="0"/>
            </w:pPr>
            <w:r/>
            <w:r>
              <w:rPr>
                <w:b w:val="0"/>
                <w:sz w:val="18"/>
              </w:rPr>
              <w:t>Total claims</w:t>
            </w:r>
          </w:p>
        </w:tc>
        <w:tc>
          <w:tcPr>
            <w:tcW w:type="dxa" w:w="5040"/>
            <w:vAlign w:val="center"/>
          </w:tcPr>
          <w:p>
            <w:pPr>
              <w:spacing w:after="0"/>
            </w:pPr>
            <w:r/>
            <w:r>
              <w:rPr>
                <w:b w:val="0"/>
                <w:sz w:val="18"/>
              </w:rPr>
              <w:t>8K displayed</w:t>
            </w:r>
          </w:p>
        </w:tc>
      </w:tr>
      <w:tr>
        <w:tc>
          <w:tcPr>
            <w:tcW w:type="dxa" w:w="5040"/>
            <w:vAlign w:val="center"/>
          </w:tcPr>
          <w:p>
            <w:pPr>
              <w:spacing w:after="0"/>
            </w:pPr>
            <w:r/>
            <w:r>
              <w:rPr>
                <w:b w:val="0"/>
                <w:sz w:val="18"/>
              </w:rPr>
              <w:t>Approved claims</w:t>
            </w:r>
          </w:p>
        </w:tc>
        <w:tc>
          <w:tcPr>
            <w:tcW w:type="dxa" w:w="5040"/>
            <w:vAlign w:val="center"/>
          </w:tcPr>
          <w:p>
            <w:pPr>
              <w:spacing w:after="0"/>
            </w:pPr>
            <w:r/>
            <w:r>
              <w:rPr>
                <w:b w:val="0"/>
                <w:sz w:val="18"/>
              </w:rPr>
              <w:t>4K displayed</w:t>
            </w:r>
          </w:p>
        </w:tc>
      </w:tr>
      <w:tr>
        <w:tc>
          <w:tcPr>
            <w:tcW w:type="dxa" w:w="5040"/>
            <w:vAlign w:val="center"/>
          </w:tcPr>
          <w:p>
            <w:pPr>
              <w:spacing w:after="0"/>
            </w:pPr>
            <w:r/>
            <w:r>
              <w:rPr>
                <w:b w:val="0"/>
                <w:sz w:val="18"/>
              </w:rPr>
              <w:t>Denied claims</w:t>
            </w:r>
          </w:p>
        </w:tc>
        <w:tc>
          <w:tcPr>
            <w:tcW w:type="dxa" w:w="5040"/>
            <w:vAlign w:val="center"/>
          </w:tcPr>
          <w:p>
            <w:pPr>
              <w:spacing w:after="0"/>
            </w:pPr>
            <w:r/>
            <w:r>
              <w:rPr>
                <w:b w:val="0"/>
                <w:sz w:val="18"/>
              </w:rPr>
              <w:t>691 displayed</w:t>
            </w:r>
          </w:p>
        </w:tc>
      </w:tr>
      <w:tr>
        <w:tc>
          <w:tcPr>
            <w:tcW w:type="dxa" w:w="5040"/>
            <w:vAlign w:val="center"/>
          </w:tcPr>
          <w:p>
            <w:pPr>
              <w:spacing w:after="0"/>
            </w:pPr>
            <w:r/>
            <w:r>
              <w:rPr>
                <w:b w:val="0"/>
                <w:sz w:val="18"/>
              </w:rPr>
              <w:t>Denial rate</w:t>
            </w:r>
          </w:p>
        </w:tc>
        <w:tc>
          <w:tcPr>
            <w:tcW w:type="dxa" w:w="5040"/>
            <w:vAlign w:val="center"/>
          </w:tcPr>
          <w:p>
            <w:pPr>
              <w:spacing w:after="0"/>
            </w:pPr>
            <w:r/>
            <w:r>
              <w:rPr>
                <w:b w:val="0"/>
                <w:sz w:val="18"/>
              </w:rPr>
              <w:t>8.63% displayed</w:t>
            </w:r>
          </w:p>
        </w:tc>
      </w:tr>
      <w:tr>
        <w:tc>
          <w:tcPr>
            <w:tcW w:type="dxa" w:w="5040"/>
            <w:vAlign w:val="center"/>
          </w:tcPr>
          <w:p>
            <w:pPr>
              <w:spacing w:after="0"/>
            </w:pPr>
            <w:r/>
            <w:r>
              <w:rPr>
                <w:b w:val="0"/>
                <w:sz w:val="18"/>
              </w:rPr>
              <w:t>Top denial reasons</w:t>
            </w:r>
          </w:p>
        </w:tc>
        <w:tc>
          <w:tcPr>
            <w:tcW w:type="dxa" w:w="5040"/>
            <w:vAlign w:val="center"/>
          </w:tcPr>
          <w:p>
            <w:pPr>
              <w:spacing w:after="0"/>
            </w:pPr>
            <w:r/>
            <w:r>
              <w:rPr>
                <w:b w:val="0"/>
                <w:sz w:val="18"/>
              </w:rPr>
              <w:t>N/A, Incomplete Patient File, Billing Verification Pending, Coding Pending, Missing Doctor Signature and Missing Insurance Document are displayed.</w:t>
            </w:r>
          </w:p>
        </w:tc>
      </w:tr>
      <w:tr>
        <w:tc>
          <w:tcPr>
            <w:tcW w:type="dxa" w:w="5040"/>
            <w:vAlign w:val="center"/>
          </w:tcPr>
          <w:p>
            <w:pPr>
              <w:spacing w:after="0"/>
            </w:pPr>
            <w:r/>
            <w:r>
              <w:rPr>
                <w:b w:val="0"/>
                <w:sz w:val="18"/>
              </w:rPr>
              <w:t>Payer analysis</w:t>
            </w:r>
          </w:p>
        </w:tc>
        <w:tc>
          <w:tcPr>
            <w:tcW w:type="dxa" w:w="5040"/>
            <w:vAlign w:val="center"/>
          </w:tcPr>
          <w:p>
            <w:pPr>
              <w:spacing w:after="0"/>
            </w:pPr>
            <w:r/>
            <w:r>
              <w:rPr>
                <w:b w:val="0"/>
                <w:sz w:val="18"/>
              </w:rPr>
              <w:t>Claims status is compared across Government Health Scheme, Star Health, HDFC ERGO, ICICI Lombard, Care Health, Niva Bupa and Bajaj Allianz.</w:t>
            </w:r>
          </w:p>
        </w:tc>
      </w:tr>
      <w:tr>
        <w:tc>
          <w:tcPr>
            <w:tcW w:type="dxa" w:w="5040"/>
            <w:vAlign w:val="center"/>
          </w:tcPr>
          <w:p>
            <w:pPr>
              <w:spacing w:after="0"/>
            </w:pPr>
            <w:r/>
            <w:r>
              <w:rPr>
                <w:b w:val="0"/>
                <w:sz w:val="18"/>
              </w:rPr>
              <w:t>High-risk monitoring</w:t>
            </w:r>
          </w:p>
        </w:tc>
        <w:tc>
          <w:tcPr>
            <w:tcW w:type="dxa" w:w="5040"/>
            <w:vAlign w:val="center"/>
          </w:tcPr>
          <w:p>
            <w:pPr>
              <w:spacing w:after="0"/>
            </w:pPr>
            <w:r/>
            <w:r>
              <w:rPr>
                <w:b w:val="0"/>
                <w:sz w:val="18"/>
              </w:rPr>
              <w:t>Claim ID, patient, insurer, submitted amount, error flag and days pending are available for exception review.</w:t>
            </w:r>
          </w:p>
        </w:tc>
      </w:tr>
    </w:tbl>
    <w:p>
      <w:pPr>
        <w:spacing w:after="40"/>
      </w:pPr>
    </w:p>
    <w:p>
      <w:pPr>
        <w:spacing w:after="120"/>
      </w:pPr>
      <w:r>
        <w:t>The dashboard's high-risk claim list is designed as an operational exception view. Instead of looking only at aggregate denial percentages, management can inspect individual claims flagged as High Risk and use the associated insurer, amount and pending information for follow-up.</w:t>
      </w:r>
    </w:p>
    <w:p>
      <w:pPr>
        <w:spacing w:after="120"/>
      </w:pPr>
      <w:r>
        <w:t>The supplied source dataset separately documents 6,427 claims and a source-data denial rate of 11.75%. Because the dashboard PDF displays 8K claims and an 8.63% denial rate, this case study intentionally treats those as dashboard-reported values and does not combine them into one metric.</w:t>
      </w:r>
    </w:p>
    <w:p>
      <w:pPr>
        <w:pStyle w:val="Heading1"/>
      </w:pPr>
      <w:r>
        <w:t>10. Page 4 — Hospital Operations &amp; Patient Flow</w:t>
      </w:r>
    </w:p>
    <w:p>
      <w:pPr>
        <w:spacing w:after="120"/>
      </w:pPr>
      <w:r>
        <w:t>The Operations &amp; Patient Flow page shifts the focus from financial performance to service demand and treatment operations. It tracks patient inflow, emergency intake, department workload and treatment duration.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Analysis</w:t>
            </w:r>
          </w:p>
        </w:tc>
        <w:tc>
          <w:tcPr>
            <w:tcW w:type="dxa" w:w="5040"/>
            <w:vAlign w:val="center"/>
            <w:shd w:fill="D9EAF7"/>
          </w:tcPr>
          <w:p>
            <w:pPr>
              <w:spacing w:after="0"/>
            </w:pPr>
            <w:r/>
            <w:r>
              <w:rPr>
                <w:b/>
                <w:sz w:val="19"/>
              </w:rPr>
              <w:t>Dashboard Finding</w:t>
            </w:r>
          </w:p>
        </w:tc>
      </w:tr>
      <w:tr>
        <w:tc>
          <w:tcPr>
            <w:tcW w:type="dxa" w:w="5040"/>
            <w:vAlign w:val="center"/>
          </w:tcPr>
          <w:p>
            <w:pPr>
              <w:spacing w:after="0"/>
            </w:pPr>
            <w:r/>
            <w:r>
              <w:rPr>
                <w:b w:val="0"/>
                <w:sz w:val="18"/>
              </w:rPr>
              <w:t>Total visits</w:t>
            </w:r>
          </w:p>
        </w:tc>
        <w:tc>
          <w:tcPr>
            <w:tcW w:type="dxa" w:w="5040"/>
            <w:vAlign w:val="center"/>
          </w:tcPr>
          <w:p>
            <w:pPr>
              <w:spacing w:after="0"/>
            </w:pPr>
            <w:r/>
            <w:r>
              <w:rPr>
                <w:b w:val="0"/>
                <w:sz w:val="18"/>
              </w:rPr>
              <w:t>8K displayed</w:t>
            </w:r>
          </w:p>
        </w:tc>
      </w:tr>
      <w:tr>
        <w:tc>
          <w:tcPr>
            <w:tcW w:type="dxa" w:w="5040"/>
            <w:vAlign w:val="center"/>
          </w:tcPr>
          <w:p>
            <w:pPr>
              <w:spacing w:after="0"/>
            </w:pPr>
            <w:r/>
            <w:r>
              <w:rPr>
                <w:b w:val="0"/>
                <w:sz w:val="18"/>
              </w:rPr>
              <w:t>Emergency intake</w:t>
            </w:r>
          </w:p>
        </w:tc>
        <w:tc>
          <w:tcPr>
            <w:tcW w:type="dxa" w:w="5040"/>
            <w:vAlign w:val="center"/>
          </w:tcPr>
          <w:p>
            <w:pPr>
              <w:spacing w:after="0"/>
            </w:pPr>
            <w:r/>
            <w:r>
              <w:rPr>
                <w:b w:val="0"/>
                <w:sz w:val="18"/>
              </w:rPr>
              <w:t>2K displayed</w:t>
            </w:r>
          </w:p>
        </w:tc>
      </w:tr>
      <w:tr>
        <w:tc>
          <w:tcPr>
            <w:tcW w:type="dxa" w:w="5040"/>
            <w:vAlign w:val="center"/>
          </w:tcPr>
          <w:p>
            <w:pPr>
              <w:spacing w:after="0"/>
            </w:pPr>
            <w:r/>
            <w:r>
              <w:rPr>
                <w:b w:val="0"/>
                <w:sz w:val="18"/>
              </w:rPr>
              <w:t>Average treatment time</w:t>
            </w:r>
          </w:p>
        </w:tc>
        <w:tc>
          <w:tcPr>
            <w:tcW w:type="dxa" w:w="5040"/>
            <w:vAlign w:val="center"/>
          </w:tcPr>
          <w:p>
            <w:pPr>
              <w:spacing w:after="0"/>
            </w:pPr>
            <w:r/>
            <w:r>
              <w:rPr>
                <w:b w:val="0"/>
                <w:sz w:val="18"/>
              </w:rPr>
              <w:t>2.66 days displayed</w:t>
            </w:r>
          </w:p>
        </w:tc>
      </w:tr>
      <w:tr>
        <w:tc>
          <w:tcPr>
            <w:tcW w:type="dxa" w:w="5040"/>
            <w:vAlign w:val="center"/>
          </w:tcPr>
          <w:p>
            <w:pPr>
              <w:spacing w:after="0"/>
            </w:pPr>
            <w:r/>
            <w:r>
              <w:rPr>
                <w:b w:val="0"/>
                <w:sz w:val="18"/>
              </w:rPr>
              <w:t>Monthly patient inflow</w:t>
            </w:r>
          </w:p>
        </w:tc>
        <w:tc>
          <w:tcPr>
            <w:tcW w:type="dxa" w:w="5040"/>
            <w:vAlign w:val="center"/>
          </w:tcPr>
          <w:p>
            <w:pPr>
              <w:spacing w:after="0"/>
            </w:pPr>
            <w:r/>
            <w:r>
              <w:rPr>
                <w:b w:val="0"/>
                <w:sz w:val="18"/>
              </w:rPr>
              <w:t>Monthly visit trend from January through December is visualized.</w:t>
            </w:r>
          </w:p>
        </w:tc>
      </w:tr>
      <w:tr>
        <w:tc>
          <w:tcPr>
            <w:tcW w:type="dxa" w:w="5040"/>
            <w:vAlign w:val="center"/>
          </w:tcPr>
          <w:p>
            <w:pPr>
              <w:spacing w:after="0"/>
            </w:pPr>
            <w:r/>
            <w:r>
              <w:rPr>
                <w:b w:val="0"/>
                <w:sz w:val="18"/>
              </w:rPr>
              <w:t>Patient visits by department</w:t>
            </w:r>
          </w:p>
        </w:tc>
        <w:tc>
          <w:tcPr>
            <w:tcW w:type="dxa" w:w="5040"/>
            <w:vAlign w:val="center"/>
          </w:tcPr>
          <w:p>
            <w:pPr>
              <w:spacing w:after="0"/>
            </w:pPr>
            <w:r/>
            <w:r>
              <w:rPr>
                <w:b w:val="0"/>
                <w:sz w:val="18"/>
              </w:rPr>
              <w:t>Emergency, OPD, ICU, Radiology, Surgery and Pharmacy are compared.</w:t>
            </w:r>
          </w:p>
        </w:tc>
      </w:tr>
      <w:tr>
        <w:tc>
          <w:tcPr>
            <w:tcW w:type="dxa" w:w="5040"/>
            <w:vAlign w:val="center"/>
          </w:tcPr>
          <w:p>
            <w:pPr>
              <w:spacing w:after="0"/>
            </w:pPr>
            <w:r/>
            <w:r>
              <w:rPr>
                <w:b w:val="0"/>
                <w:sz w:val="18"/>
              </w:rPr>
              <w:t>Emergency trend</w:t>
            </w:r>
          </w:p>
        </w:tc>
        <w:tc>
          <w:tcPr>
            <w:tcW w:type="dxa" w:w="5040"/>
            <w:vAlign w:val="center"/>
          </w:tcPr>
          <w:p>
            <w:pPr>
              <w:spacing w:after="0"/>
            </w:pPr>
            <w:r/>
            <w:r>
              <w:rPr>
                <w:b w:val="0"/>
                <w:sz w:val="18"/>
              </w:rPr>
              <w:t>Monthly emergency intake is shown separately to identify changes in urgent demand.</w:t>
            </w:r>
          </w:p>
        </w:tc>
      </w:tr>
      <w:tr>
        <w:tc>
          <w:tcPr>
            <w:tcW w:type="dxa" w:w="5040"/>
            <w:vAlign w:val="center"/>
          </w:tcPr>
          <w:p>
            <w:pPr>
              <w:spacing w:after="0"/>
            </w:pPr>
            <w:r/>
            <w:r>
              <w:rPr>
                <w:b w:val="0"/>
                <w:sz w:val="18"/>
              </w:rPr>
              <w:t>Treatment time</w:t>
            </w:r>
          </w:p>
        </w:tc>
        <w:tc>
          <w:tcPr>
            <w:tcW w:type="dxa" w:w="5040"/>
            <w:vAlign w:val="center"/>
          </w:tcPr>
          <w:p>
            <w:pPr>
              <w:spacing w:after="0"/>
            </w:pPr>
            <w:r/>
            <w:r>
              <w:rPr>
                <w:b w:val="0"/>
                <w:sz w:val="18"/>
              </w:rPr>
              <w:t>Average treatment time is compared by department.</w:t>
            </w:r>
          </w:p>
        </w:tc>
      </w:tr>
    </w:tbl>
    <w:p>
      <w:pPr>
        <w:spacing w:after="40"/>
      </w:pPr>
    </w:p>
    <w:p>
      <w:pPr>
        <w:spacing w:after="120"/>
      </w:pPr>
      <w:r>
        <w:t>The displayed patient-volume comparison shows Emergency at approximately 1,688 visits, OPD at 1,357, ICU at 1,296, Radiology at 1,265, Surgery at 1,252 and Pharmacy at 1,146. The treatment-time visual displays department-level averages, with Emergency at approximately 3.9 days and Surgery at approximately 3.1 days among the higher displayed values.</w:t>
      </w:r>
    </w:p>
    <w:p>
      <w:pPr>
        <w:spacing w:after="120"/>
      </w:pPr>
      <w:r>
        <w:t>This page helps connect demand with operational capacity: increasing patient inflow or emergency intake can be considered alongside treatment time and department workload rather than viewed as a standalone count.</w:t>
      </w:r>
    </w:p>
    <w:p>
      <w:pPr>
        <w:pStyle w:val="Heading1"/>
      </w:pPr>
      <w:r>
        <w:t>11. Cross-Functional Analytical Story</w:t>
      </w:r>
    </w:p>
    <w:p>
      <w:pPr>
        <w:spacing w:after="120"/>
      </w:pPr>
      <w:r>
        <w:t>The dashboard follows a connected analytical journey rather than four unrelated pages:</w:t>
      </w:r>
    </w:p>
    <w:p>
      <w:pPr>
        <w:pStyle w:val="ListBullet"/>
        <w:spacing w:after="60"/>
      </w:pPr>
      <w:r>
        <w:t>Executive view → establish the overall revenue and patient-activity picture.</w:t>
      </w:r>
    </w:p>
    <w:p>
      <w:pPr>
        <w:pStyle w:val="ListBullet"/>
        <w:spacing w:after="60"/>
      </w:pPr>
      <w:r>
        <w:t>Revenue leakage → identify unbilled amounts, payment delays and recovery opportunities.</w:t>
      </w:r>
    </w:p>
    <w:p>
      <w:pPr>
        <w:pStyle w:val="ListBullet"/>
        <w:spacing w:after="60"/>
      </w:pPr>
      <w:r>
        <w:t>Claims tracker → investigate whether insurance-claim outcomes are contributing to delayed realization or rejection.</w:t>
      </w:r>
    </w:p>
    <w:p>
      <w:pPr>
        <w:pStyle w:val="ListBullet"/>
        <w:spacing w:after="60"/>
      </w:pPr>
      <w:r>
        <w:t>Operations &amp; patient flow → connect financial activity with patient demand, emergency intake and treatment workload.</w:t>
      </w:r>
    </w:p>
    <w:p>
      <w:pPr>
        <w:spacing w:after="120"/>
      </w:pPr>
      <w:r>
        <w:t>This structure allows management to move from summary to diagnosis: first identify a signal, then drill into the financial or claims exception, and finally relate it to the operational context.</w:t>
      </w:r>
    </w:p>
    <w:p>
      <w:pPr>
        <w:pStyle w:val="Heading1"/>
      </w:pPr>
      <w:r>
        <w:t>12. Key Findings from the Dashboard</w:t>
      </w:r>
    </w:p>
    <w:p>
      <w:pPr>
        <w:pStyle w:val="ListBullet"/>
        <w:spacing w:after="60"/>
      </w:pPr>
      <w:r>
        <w:t>The dashboard reports ₹452.61M in total revenue and 8K total visits in its executive view.</w:t>
      </w:r>
    </w:p>
    <w:p>
      <w:pPr>
        <w:pStyle w:val="ListBullet"/>
        <w:spacing w:after="60"/>
      </w:pPr>
      <w:r>
        <w:t>ICU and Surgery represent the largest displayed departmental revenue contributions in the Executive Operations page.</w:t>
      </w:r>
    </w:p>
    <w:p>
      <w:pPr>
        <w:pStyle w:val="ListBullet"/>
        <w:spacing w:after="60"/>
      </w:pPr>
      <w:r>
        <w:t>OPD is the largest displayed revenue contributor by visit type, followed by IPD and ER.</w:t>
      </w:r>
    </w:p>
    <w:p>
      <w:pPr>
        <w:pStyle w:val="ListBullet"/>
        <w:spacing w:after="60"/>
      </w:pPr>
      <w:r>
        <w:t>The dashboard shows ₹50.32M in total unbilled revenue and ₹402.28M in net recoverable revenue.</w:t>
      </w:r>
    </w:p>
    <w:p>
      <w:pPr>
        <w:pStyle w:val="ListBullet"/>
        <w:spacing w:after="60"/>
      </w:pPr>
      <w:r>
        <w:t>Billing-delay analysis exposes operational reasons such as coding, verification, missing documents and missing signatures.</w:t>
      </w:r>
    </w:p>
    <w:p>
      <w:pPr>
        <w:pStyle w:val="ListBullet"/>
        <w:spacing w:after="60"/>
      </w:pPr>
      <w:r>
        <w:t>The Claims Tracker displays 691 denied claims and an 8.63% denial rate.</w:t>
      </w:r>
    </w:p>
    <w:p>
      <w:pPr>
        <w:pStyle w:val="ListBullet"/>
        <w:spacing w:after="60"/>
      </w:pPr>
      <w:r>
        <w:t>Denial-reason analysis provides a direct starting point for process and documentation review.</w:t>
      </w:r>
    </w:p>
    <w:p>
      <w:pPr>
        <w:pStyle w:val="ListBullet"/>
        <w:spacing w:after="60"/>
      </w:pPr>
      <w:r>
        <w:t>High-risk claim alerts support exception-based follow-up instead of relying only on aggregate KPIs.</w:t>
      </w:r>
    </w:p>
    <w:p>
      <w:pPr>
        <w:pStyle w:val="ListBullet"/>
        <w:spacing w:after="60"/>
      </w:pPr>
      <w:r>
        <w:t>The Operations page reports 2K emergency intake and 2.66 days average treatment time.</w:t>
      </w:r>
    </w:p>
    <w:p>
      <w:pPr>
        <w:pStyle w:val="ListBullet"/>
        <w:spacing w:after="60"/>
      </w:pPr>
      <w:r>
        <w:t>Department-level patient volume and treatment-time comparisons provide an operational context for financial performance.</w:t>
      </w:r>
    </w:p>
    <w:p>
      <w:pPr>
        <w:pStyle w:val="Heading1"/>
      </w:pPr>
      <w:r>
        <w:t>13. Business Value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Business Area</w:t>
            </w:r>
          </w:p>
        </w:tc>
        <w:tc>
          <w:tcPr>
            <w:tcW w:type="dxa" w:w="5040"/>
            <w:vAlign w:val="center"/>
            <w:shd w:fill="D9EAF7"/>
          </w:tcPr>
          <w:p>
            <w:pPr>
              <w:spacing w:after="0"/>
            </w:pPr>
            <w:r/>
            <w:r>
              <w:rPr>
                <w:b/>
                <w:sz w:val="19"/>
              </w:rPr>
              <w:t>Value Delivered</w:t>
            </w:r>
          </w:p>
        </w:tc>
      </w:tr>
      <w:tr>
        <w:tc>
          <w:tcPr>
            <w:tcW w:type="dxa" w:w="5040"/>
            <w:vAlign w:val="center"/>
          </w:tcPr>
          <w:p>
            <w:pPr>
              <w:spacing w:after="0"/>
            </w:pPr>
            <w:r/>
            <w:r>
              <w:rPr>
                <w:b w:val="0"/>
                <w:sz w:val="18"/>
              </w:rPr>
              <w:t>Revenue visibility</w:t>
            </w:r>
          </w:p>
        </w:tc>
        <w:tc>
          <w:tcPr>
            <w:tcW w:type="dxa" w:w="5040"/>
            <w:vAlign w:val="center"/>
          </w:tcPr>
          <w:p>
            <w:pPr>
              <w:spacing w:after="0"/>
            </w:pPr>
            <w:r/>
            <w:r>
              <w:rPr>
                <w:b w:val="0"/>
                <w:sz w:val="18"/>
              </w:rPr>
              <w:t>Consolidated view of revenue by department, payment mode and visit type.</w:t>
            </w:r>
          </w:p>
        </w:tc>
      </w:tr>
      <w:tr>
        <w:tc>
          <w:tcPr>
            <w:tcW w:type="dxa" w:w="5040"/>
            <w:vAlign w:val="center"/>
          </w:tcPr>
          <w:p>
            <w:pPr>
              <w:spacing w:after="0"/>
            </w:pPr>
            <w:r/>
            <w:r>
              <w:rPr>
                <w:b w:val="0"/>
                <w:sz w:val="18"/>
              </w:rPr>
              <w:t>Revenue leakage control</w:t>
            </w:r>
          </w:p>
        </w:tc>
        <w:tc>
          <w:tcPr>
            <w:tcW w:type="dxa" w:w="5040"/>
            <w:vAlign w:val="center"/>
          </w:tcPr>
          <w:p>
            <w:pPr>
              <w:spacing w:after="0"/>
            </w:pPr>
            <w:r/>
            <w:r>
              <w:rPr>
                <w:b w:val="0"/>
                <w:sz w:val="18"/>
              </w:rPr>
              <w:t>Dedicated identification of unbilled amounts and billing-delay reasons.</w:t>
            </w:r>
          </w:p>
        </w:tc>
      </w:tr>
      <w:tr>
        <w:tc>
          <w:tcPr>
            <w:tcW w:type="dxa" w:w="5040"/>
            <w:vAlign w:val="center"/>
          </w:tcPr>
          <w:p>
            <w:pPr>
              <w:spacing w:after="0"/>
            </w:pPr>
            <w:r/>
            <w:r>
              <w:rPr>
                <w:b w:val="0"/>
                <w:sz w:val="18"/>
              </w:rPr>
              <w:t>Cash-flow monitoring</w:t>
            </w:r>
          </w:p>
        </w:tc>
        <w:tc>
          <w:tcPr>
            <w:tcW w:type="dxa" w:w="5040"/>
            <w:vAlign w:val="center"/>
          </w:tcPr>
          <w:p>
            <w:pPr>
              <w:spacing w:after="0"/>
            </w:pPr>
            <w:r/>
            <w:r>
              <w:rPr>
                <w:b w:val="0"/>
                <w:sz w:val="18"/>
              </w:rPr>
              <w:t>Payment-lag analysis highlights delays in revenue realization.</w:t>
            </w:r>
          </w:p>
        </w:tc>
      </w:tr>
      <w:tr>
        <w:tc>
          <w:tcPr>
            <w:tcW w:type="dxa" w:w="5040"/>
            <w:vAlign w:val="center"/>
          </w:tcPr>
          <w:p>
            <w:pPr>
              <w:spacing w:after="0"/>
            </w:pPr>
            <w:r/>
            <w:r>
              <w:rPr>
                <w:b w:val="0"/>
                <w:sz w:val="18"/>
              </w:rPr>
              <w:t>Claims management</w:t>
            </w:r>
          </w:p>
        </w:tc>
        <w:tc>
          <w:tcPr>
            <w:tcW w:type="dxa" w:w="5040"/>
            <w:vAlign w:val="center"/>
          </w:tcPr>
          <w:p>
            <w:pPr>
              <w:spacing w:after="0"/>
            </w:pPr>
            <w:r/>
            <w:r>
              <w:rPr>
                <w:b w:val="0"/>
                <w:sz w:val="18"/>
              </w:rPr>
              <w:t>Status, denial reasons and high-risk claims are visible in one place.</w:t>
            </w:r>
          </w:p>
        </w:tc>
      </w:tr>
      <w:tr>
        <w:tc>
          <w:tcPr>
            <w:tcW w:type="dxa" w:w="5040"/>
            <w:vAlign w:val="center"/>
          </w:tcPr>
          <w:p>
            <w:pPr>
              <w:spacing w:after="0"/>
            </w:pPr>
            <w:r/>
            <w:r>
              <w:rPr>
                <w:b w:val="0"/>
                <w:sz w:val="18"/>
              </w:rPr>
              <w:t>Operational monitoring</w:t>
            </w:r>
          </w:p>
        </w:tc>
        <w:tc>
          <w:tcPr>
            <w:tcW w:type="dxa" w:w="5040"/>
            <w:vAlign w:val="center"/>
          </w:tcPr>
          <w:p>
            <w:pPr>
              <w:spacing w:after="0"/>
            </w:pPr>
            <w:r/>
            <w:r>
              <w:rPr>
                <w:b w:val="0"/>
                <w:sz w:val="18"/>
              </w:rPr>
              <w:t>Patient inflow, emergency intake and treatment time can be compared across departments.</w:t>
            </w:r>
          </w:p>
        </w:tc>
      </w:tr>
      <w:tr>
        <w:tc>
          <w:tcPr>
            <w:tcW w:type="dxa" w:w="5040"/>
            <w:vAlign w:val="center"/>
          </w:tcPr>
          <w:p>
            <w:pPr>
              <w:spacing w:after="0"/>
            </w:pPr>
            <w:r/>
            <w:r>
              <w:rPr>
                <w:b w:val="0"/>
                <w:sz w:val="18"/>
              </w:rPr>
              <w:t>Management reporting</w:t>
            </w:r>
          </w:p>
        </w:tc>
        <w:tc>
          <w:tcPr>
            <w:tcW w:type="dxa" w:w="5040"/>
            <w:vAlign w:val="center"/>
          </w:tcPr>
          <w:p>
            <w:pPr>
              <w:spacing w:after="0"/>
            </w:pPr>
            <w:r/>
            <w:r>
              <w:rPr>
                <w:b w:val="0"/>
                <w:sz w:val="18"/>
              </w:rPr>
              <w:t>Interactive Power BI pages reduce dependence on static, disconnected reports.</w:t>
            </w:r>
          </w:p>
        </w:tc>
      </w:tr>
      <w:tr>
        <w:tc>
          <w:tcPr>
            <w:tcW w:type="dxa" w:w="5040"/>
            <w:vAlign w:val="center"/>
          </w:tcPr>
          <w:p>
            <w:pPr>
              <w:spacing w:after="0"/>
            </w:pPr>
            <w:r/>
            <w:r>
              <w:rPr>
                <w:b w:val="0"/>
                <w:sz w:val="18"/>
              </w:rPr>
              <w:t>Exception management</w:t>
            </w:r>
          </w:p>
        </w:tc>
        <w:tc>
          <w:tcPr>
            <w:tcW w:type="dxa" w:w="5040"/>
            <w:vAlign w:val="center"/>
          </w:tcPr>
          <w:p>
            <w:pPr>
              <w:spacing w:after="0"/>
            </w:pPr>
            <w:r/>
            <w:r>
              <w:rPr>
                <w:b w:val="0"/>
                <w:sz w:val="18"/>
              </w:rPr>
              <w:t>Detailed tables support investigation of individual unbilled services and high-risk claims.</w:t>
            </w:r>
          </w:p>
        </w:tc>
      </w:tr>
    </w:tbl>
    <w:p>
      <w:pPr>
        <w:spacing w:after="40"/>
      </w:pPr>
    </w:p>
    <w:p>
      <w:pPr>
        <w:pStyle w:val="Heading1"/>
      </w:pPr>
      <w:r>
        <w:t>14. Recommended Action Areas</w:t>
      </w:r>
    </w:p>
    <w:p>
      <w:pPr>
        <w:spacing w:after="120"/>
      </w:pPr>
      <w:r>
        <w:t>These are analytical action areas suggested by the dashboard structure, not claims that the hospital has already implemented them.</w:t>
      </w:r>
    </w:p>
    <w:p>
      <w:pPr>
        <w:pStyle w:val="ListBullet"/>
        <w:spacing w:after="60"/>
      </w:pPr>
      <w:r>
        <w:t>Prioritize review of high-value unbilled services, especially where billing delays are linked to missing documentation or coding activities.</w:t>
      </w:r>
    </w:p>
    <w:p>
      <w:pPr>
        <w:pStyle w:val="ListBullet"/>
        <w:spacing w:after="60"/>
      </w:pPr>
      <w:r>
        <w:t>Create a recurring billing-delay review using department, delay reason and payment-lag trends.</w:t>
      </w:r>
    </w:p>
    <w:p>
      <w:pPr>
        <w:pStyle w:val="ListBullet"/>
        <w:spacing w:after="60"/>
      </w:pPr>
      <w:r>
        <w:t>Track denial reasons periodically and focus process reviews on the most frequent rejection categories.</w:t>
      </w:r>
    </w:p>
    <w:p>
      <w:pPr>
        <w:pStyle w:val="ListBullet"/>
        <w:spacing w:after="60"/>
      </w:pPr>
      <w:r>
        <w:t>Use the high-risk claims table as an exception queue for claims requiring follow-up.</w:t>
      </w:r>
    </w:p>
    <w:p>
      <w:pPr>
        <w:pStyle w:val="ListBullet"/>
        <w:spacing w:after="60"/>
      </w:pPr>
      <w:r>
        <w:t>Compare emergency intake and treatment-time trends to identify departments that may require operational attention.</w:t>
      </w:r>
    </w:p>
    <w:p>
      <w:pPr>
        <w:pStyle w:val="ListBullet"/>
        <w:spacing w:after="60"/>
      </w:pPr>
      <w:r>
        <w:t>Use payment-mode and visit-type revenue trends to support financial monitoring and collection planning.</w:t>
      </w:r>
    </w:p>
    <w:p>
      <w:pPr>
        <w:pStyle w:val="ListBullet"/>
        <w:spacing w:after="60"/>
      </w:pPr>
      <w:r>
        <w:t>Add a controlled refresh process and authorized hospital source connection before treating the dashboard as a production live-reporting solution.</w:t>
      </w:r>
    </w:p>
    <w:p>
      <w:pPr>
        <w:pStyle w:val="Heading1"/>
      </w:pPr>
      <w:r>
        <w:t>15. Technology &amp; Analytical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9"/>
              </w:rPr>
              <w:t>Component</w:t>
            </w:r>
          </w:p>
        </w:tc>
        <w:tc>
          <w:tcPr>
            <w:tcW w:type="dxa" w:w="5040"/>
            <w:vAlign w:val="center"/>
            <w:shd w:fill="D9EAF7"/>
          </w:tcPr>
          <w:p>
            <w:pPr>
              <w:spacing w:after="0"/>
            </w:pPr>
            <w:r/>
            <w:r>
              <w:rPr>
                <w:b/>
                <w:sz w:val="19"/>
              </w:rPr>
              <w:t>Use in the Project</w:t>
            </w:r>
          </w:p>
        </w:tc>
      </w:tr>
      <w:tr>
        <w:tc>
          <w:tcPr>
            <w:tcW w:type="dxa" w:w="5040"/>
            <w:vAlign w:val="center"/>
          </w:tcPr>
          <w:p>
            <w:pPr>
              <w:spacing w:after="0"/>
            </w:pPr>
            <w:r/>
            <w:r>
              <w:rPr>
                <w:b w:val="0"/>
                <w:sz w:val="18"/>
              </w:rPr>
              <w:t>Microsoft Power BI</w:t>
            </w:r>
          </w:p>
        </w:tc>
        <w:tc>
          <w:tcPr>
            <w:tcW w:type="dxa" w:w="5040"/>
            <w:vAlign w:val="center"/>
          </w:tcPr>
          <w:p>
            <w:pPr>
              <w:spacing w:after="0"/>
            </w:pPr>
            <w:r/>
            <w:r>
              <w:rPr>
                <w:b w:val="0"/>
                <w:sz w:val="18"/>
              </w:rPr>
              <w:t>Dashboard development, visual analytics, filters and management reporting</w:t>
            </w:r>
          </w:p>
        </w:tc>
      </w:tr>
      <w:tr>
        <w:tc>
          <w:tcPr>
            <w:tcW w:type="dxa" w:w="5040"/>
            <w:vAlign w:val="center"/>
          </w:tcPr>
          <w:p>
            <w:pPr>
              <w:spacing w:after="0"/>
            </w:pPr>
            <w:r/>
            <w:r>
              <w:rPr>
                <w:b w:val="0"/>
                <w:sz w:val="18"/>
              </w:rPr>
              <w:t>Relational CSV dataset</w:t>
            </w:r>
          </w:p>
        </w:tc>
        <w:tc>
          <w:tcPr>
            <w:tcW w:type="dxa" w:w="5040"/>
            <w:vAlign w:val="center"/>
          </w:tcPr>
          <w:p>
            <w:pPr>
              <w:spacing w:after="0"/>
            </w:pPr>
            <w:r/>
            <w:r>
              <w:rPr>
                <w:b w:val="0"/>
                <w:sz w:val="18"/>
              </w:rPr>
              <w:t>Patients, visits, billing, claims and calendar data</w:t>
            </w:r>
          </w:p>
        </w:tc>
      </w:tr>
      <w:tr>
        <w:tc>
          <w:tcPr>
            <w:tcW w:type="dxa" w:w="5040"/>
            <w:vAlign w:val="center"/>
          </w:tcPr>
          <w:p>
            <w:pPr>
              <w:spacing w:after="0"/>
            </w:pPr>
            <w:r/>
            <w:r>
              <w:rPr>
                <w:b w:val="0"/>
                <w:sz w:val="18"/>
              </w:rPr>
              <w:t>Data model relationships</w:t>
            </w:r>
          </w:p>
        </w:tc>
        <w:tc>
          <w:tcPr>
            <w:tcW w:type="dxa" w:w="5040"/>
            <w:vAlign w:val="center"/>
          </w:tcPr>
          <w:p>
            <w:pPr>
              <w:spacing w:after="0"/>
            </w:pPr>
            <w:r/>
            <w:r>
              <w:rPr>
                <w:b w:val="0"/>
                <w:sz w:val="18"/>
              </w:rPr>
              <w:t>Connect patient, visit, billing, claim and date dimensions</w:t>
            </w:r>
          </w:p>
        </w:tc>
      </w:tr>
      <w:tr>
        <w:tc>
          <w:tcPr>
            <w:tcW w:type="dxa" w:w="5040"/>
            <w:vAlign w:val="center"/>
          </w:tcPr>
          <w:p>
            <w:pPr>
              <w:spacing w:after="0"/>
            </w:pPr>
            <w:r/>
            <w:r>
              <w:rPr>
                <w:b w:val="0"/>
                <w:sz w:val="18"/>
              </w:rPr>
              <w:t>KPI measures</w:t>
            </w:r>
          </w:p>
        </w:tc>
        <w:tc>
          <w:tcPr>
            <w:tcW w:type="dxa" w:w="5040"/>
            <w:vAlign w:val="center"/>
          </w:tcPr>
          <w:p>
            <w:pPr>
              <w:spacing w:after="0"/>
            </w:pPr>
            <w:r/>
            <w:r>
              <w:rPr>
                <w:b w:val="0"/>
                <w:sz w:val="18"/>
              </w:rPr>
              <w:t>Revenue, visits, emergency intake, unbilled revenue, recoverable revenue, claims and treatment-time indicators</w:t>
            </w:r>
          </w:p>
        </w:tc>
      </w:tr>
      <w:tr>
        <w:tc>
          <w:tcPr>
            <w:tcW w:type="dxa" w:w="5040"/>
            <w:vAlign w:val="center"/>
          </w:tcPr>
          <w:p>
            <w:pPr>
              <w:spacing w:after="0"/>
            </w:pPr>
            <w:r/>
            <w:r>
              <w:rPr>
                <w:b w:val="0"/>
                <w:sz w:val="18"/>
              </w:rPr>
              <w:t>Interactive slicers</w:t>
            </w:r>
          </w:p>
        </w:tc>
        <w:tc>
          <w:tcPr>
            <w:tcW w:type="dxa" w:w="5040"/>
            <w:vAlign w:val="center"/>
          </w:tcPr>
          <w:p>
            <w:pPr>
              <w:spacing w:after="0"/>
            </w:pPr>
            <w:r/>
            <w:r>
              <w:rPr>
                <w:b w:val="0"/>
                <w:sz w:val="18"/>
              </w:rPr>
              <w:t>Month, department, billing status, insurance provider, claim status and visit type</w:t>
            </w:r>
          </w:p>
        </w:tc>
      </w:tr>
      <w:tr>
        <w:tc>
          <w:tcPr>
            <w:tcW w:type="dxa" w:w="5040"/>
            <w:vAlign w:val="center"/>
          </w:tcPr>
          <w:p>
            <w:pPr>
              <w:spacing w:after="0"/>
            </w:pPr>
            <w:r/>
            <w:r>
              <w:rPr>
                <w:b w:val="0"/>
                <w:sz w:val="18"/>
              </w:rPr>
              <w:t>Exception tables</w:t>
            </w:r>
          </w:p>
        </w:tc>
        <w:tc>
          <w:tcPr>
            <w:tcW w:type="dxa" w:w="5040"/>
            <w:vAlign w:val="center"/>
          </w:tcPr>
          <w:p>
            <w:pPr>
              <w:spacing w:after="0"/>
            </w:pPr>
            <w:r/>
            <w:r>
              <w:rPr>
                <w:b w:val="0"/>
                <w:sz w:val="18"/>
              </w:rPr>
              <w:t>Unbilled services and high-risk claims for operational follow-up</w:t>
            </w:r>
          </w:p>
        </w:tc>
      </w:tr>
    </w:tbl>
    <w:p>
      <w:pPr>
        <w:spacing w:after="40"/>
      </w:pPr>
    </w:p>
    <w:p>
      <w:pPr>
        <w:pStyle w:val="Heading1"/>
      </w:pPr>
      <w:r>
        <w:t>16. Data Scope, Assumptions &amp; Limitations</w:t>
      </w:r>
    </w:p>
    <w:p>
      <w:pPr>
        <w:pStyle w:val="ListBullet"/>
        <w:spacing w:after="60"/>
      </w:pPr>
      <w:r>
        <w:t>The supplied README describes the dataset as synthetic and created for a client-demo use case; it is not a real hospital live feed.</w:t>
      </w:r>
    </w:p>
    <w:p>
      <w:pPr>
        <w:pStyle w:val="ListBullet"/>
        <w:spacing w:after="60"/>
      </w:pPr>
      <w:r>
        <w:t>The source package covers 11 March 2025 to 11 September 2026, with reference date 11 September 2026.</w:t>
      </w:r>
    </w:p>
    <w:p>
      <w:pPr>
        <w:pStyle w:val="ListBullet"/>
        <w:spacing w:after="60"/>
      </w:pPr>
      <w:r>
        <w:t>The dashboard PDF contains a 'LIVE DATA' label, but the supplied dataset documentation explicitly states that the data is synthetic and refresh-ready rather than a real live hospital feed.</w:t>
      </w:r>
    </w:p>
    <w:p>
      <w:pPr>
        <w:pStyle w:val="ListBullet"/>
        <w:spacing w:after="60"/>
      </w:pPr>
      <w:r>
        <w:t>Dashboard-displayed KPIs and source-dataset totals are not always identical. The case study keeps dashboard values separate from source-data validation values rather than silently reconciling them.</w:t>
      </w:r>
    </w:p>
    <w:p>
      <w:pPr>
        <w:pStyle w:val="ListBullet"/>
        <w:spacing w:after="60"/>
      </w:pPr>
      <w:r>
        <w:t>Patient names and identifiers in the supplied dataset are synthetic.</w:t>
      </w:r>
    </w:p>
    <w:p>
      <w:pPr>
        <w:pStyle w:val="ListBullet"/>
        <w:spacing w:after="60"/>
      </w:pPr>
      <w:r>
        <w:t>A production implementation would require an authorized hospital HIS/EMR/SQL/API connection, appropriate security controls, refresh governance and validated business definitions.</w:t>
      </w:r>
    </w:p>
    <w:p>
      <w:pPr>
        <w:pStyle w:val="Heading1"/>
      </w:pPr>
      <w:r>
        <w:t>17. Project Statement</w:t>
      </w:r>
    </w:p>
    <w:p>
      <w:pPr>
        <w:spacing w:after="120"/>
      </w:pPr>
      <w:r>
        <w:t>I developed an interactive Power BI Hospital Billing &amp; Claims Optimization solution that consolidates financial performance, revenue leakage, insurance claim outcomes, patient activity and operational indicators into a structured analytical environment. The dashboard enables management-oriented monitoring of revenue, unbilled services, payment delays, claim denials, high-risk claims, patient inflow, emergency intake and treatment time through interactive Power BI reporting.</w:t>
      </w:r>
    </w:p>
    <w:p>
      <w:pPr>
        <w:pStyle w:val="Heading1"/>
      </w:pPr>
      <w:r>
        <w:t>18. Conclusion</w:t>
      </w:r>
    </w:p>
    <w:p>
      <w:pPr>
        <w:spacing w:after="120"/>
      </w:pPr>
      <w:r>
        <w:t>The project demonstrates how hospital transactional data can be transformed into a practical business-intelligence solution. The four-page analytical flow connects executive financial visibility with revenue-leakage investigation, claims exception management and patient-flow monitoring. The resulting case study provides a structured view of not only what the dashboard displays, but also how the information can support operational and financial investigation.</w:t>
      </w:r>
    </w:p>
    <w:tbl>
      <w:tblPr>
        <w:tblStyle w:val="TableGrid"/>
        <w:tblW w:type="auto" w:w="0"/>
        <w:tblLook w:firstColumn="1" w:firstRow="1" w:lastColumn="0" w:lastRow="0" w:noHBand="0" w:noVBand="1" w:val="04A0"/>
      </w:tblPr>
      <w:tblGrid>
        <w:gridCol w:w="10080"/>
      </w:tblGrid>
      <w:tr>
        <w:tc>
          <w:tcPr>
            <w:tcW w:type="dxa" w:w="10080"/>
            <w:shd w:fill="EEF5FA"/>
          </w:tcPr>
          <w:p>
            <w:r>
              <w:rPr>
                <w:b/>
                <w:sz w:val="21"/>
              </w:rPr>
              <w:t>End-to-end value chain</w:t>
              <w:br/>
            </w:r>
            <w:r>
              <w:rPr>
                <w:sz w:val="19"/>
              </w:rPr>
              <w:t>Patient activity → Billing → Revenue realization → Claims submission → Claim outcome → Operational follow-up</w:t>
            </w:r>
          </w:p>
        </w:tc>
      </w:tr>
    </w:tbl>
    <w:p>
      <w:pPr>
        <w:spacing w:after="4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Hospital Billing &amp; Claims Optimization | Power BI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