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sz w:val="56"/>
        </w:rPr>
        <w:t>PHARMACY &amp; HOSPITAL</w:t>
        <w:br/>
        <w:t>ANALYTICS</w:t>
      </w:r>
    </w:p>
    <w:p>
      <w:pPr>
        <w:jc w:val="center"/>
      </w:pPr>
      <w:r>
        <w:rPr>
          <w:b/>
          <w:sz w:val="36"/>
        </w:rPr>
        <w:t>Advanced Power BI Case Study</w:t>
      </w:r>
    </w:p>
    <w:p>
      <w:pPr>
        <w:jc w:val="center"/>
      </w:pPr>
      <w:r>
        <w:rPr>
          <w:sz w:val="22"/>
        </w:rPr>
        <w:t>Hospital Performance • Patient Care • Pharmacy • Revenue • Laboratory • Inventory</w:t>
      </w:r>
    </w:p>
    <w:p>
      <w:pPr>
        <w:spacing w:before="1000"/>
        <w:jc w:val="center"/>
      </w:pPr>
      <w:r>
        <w:rPr>
          <w:i/>
        </w:rPr>
        <w:t>Prepared as an internship project case study</w:t>
      </w:r>
    </w:p>
    <w:p>
      <w:r>
        <w:br w:type="page"/>
      </w:r>
    </w:p>
    <w:p>
      <w:pPr>
        <w:pStyle w:val="Heading1"/>
      </w:pPr>
      <w:r>
        <w:t>1. Executive Summary</w:t>
      </w:r>
    </w:p>
    <w:p>
      <w:pPr>
        <w:spacing w:after="120"/>
      </w:pPr>
      <w:r>
        <w:t>This case study presents an integrated Power BI analytics solution designed to bring hospital performance, patient activity, pharmacy and medicine performance, billing, laboratory activity, inventory movement, and overall financial performance into a single analytical environment.</w:t>
      </w:r>
    </w:p>
    <w:p>
      <w:pPr>
        <w:spacing w:after="120"/>
      </w:pPr>
      <w:r>
        <w:t>The dashboard is organized as a six-page analytical journey: Pharmacy &amp; Hospital Executive Overview, Pharmacy &amp; Medicine Analytics, Hospital &amp; Patient Analytics, Financial &amp; Billing Analytics, Laboratory &amp; Inventory Analytics, and Overall Performance &amp; Key Insights.</w:t>
      </w:r>
    </w:p>
    <w:p>
      <w:pPr>
        <w:spacing w:after="120"/>
      </w:pPr>
      <w:r>
        <w:t>The solution is designed to help management move from high-level monitoring to focused analysis of medicine sales, prescription activity, admissions, patient volume, billing performance, payment status, laboratory outcomes, inventory sales, targets, and profit.</w:t>
      </w:r>
    </w:p>
    <w:tbl>
      <w:tblPr>
        <w:tblStyle w:val="TableGrid"/>
        <w:tblW w:type="auto" w:w="0"/>
        <w:tblLook w:firstColumn="1" w:firstRow="1" w:lastColumn="0" w:lastRow="0" w:noHBand="0" w:noVBand="1" w:val="04A0"/>
      </w:tblPr>
      <w:tblGrid>
        <w:gridCol w:w="10080"/>
      </w:tblGrid>
      <w:tr>
        <w:tc>
          <w:tcPr>
            <w:tcW w:type="dxa" w:w="10080"/>
            <w:shd w:fill="EEF5FA"/>
          </w:tcPr>
          <w:p>
            <w:r>
              <w:rPr>
                <w:b/>
                <w:sz w:val="21"/>
              </w:rPr>
              <w:t>Business perspective</w:t>
              <w:br/>
            </w:r>
            <w:r>
              <w:rPr>
                <w:sz w:val="19"/>
              </w:rPr>
              <w:t>The dashboard does not treat pharmacy, hospital operations and finance as isolated topics. It connects patient and hospital activity with medicine demand, billing, inventory and profitability so that operational signals can be examined alongside financial outcomes.</w:t>
            </w:r>
          </w:p>
        </w:tc>
      </w:tr>
    </w:tbl>
    <w:p>
      <w:pPr>
        <w:spacing w:after="40"/>
      </w:pPr>
    </w:p>
    <w:p>
      <w:pPr>
        <w:pStyle w:val="Heading1"/>
      </w:pPr>
      <w:r>
        <w:t>2. Business Challenge</w:t>
      </w:r>
    </w:p>
    <w:p>
      <w:pPr>
        <w:spacing w:after="120"/>
      </w:pPr>
      <w:r>
        <w:t>Healthcare organizations generate information across multiple functions. Patient registrations and admissions sit alongside appointments, prescriptions, medicine master data, billing transactions, laboratory tests and inventory movements. When these areas are reviewed separately, management has limited visibility into how patient activity translates into pharmacy demand, revenue, profitability and inventory performance.</w:t>
      </w:r>
    </w:p>
    <w:p>
      <w:pPr>
        <w:spacing w:after="120"/>
      </w:pPr>
      <w:r>
        <w:t>The project addresses this challenge by creating an interactive Power BI reporting layer that consolidates the major business dimensions into a common analytical view.</w:t>
      </w:r>
    </w:p>
    <w:p>
      <w:pPr>
        <w:pStyle w:val="ListBullet"/>
        <w:spacing w:after="60"/>
      </w:pPr>
      <w:r>
        <w:t>Monitor hospital activity, patients, admissions and appointments.</w:t>
      </w:r>
    </w:p>
    <w:p>
      <w:pPr>
        <w:pStyle w:val="ListBullet"/>
        <w:spacing w:after="60"/>
      </w:pPr>
      <w:r>
        <w:t>Understand medicine demand, sales, prescription activity and category profitability.</w:t>
      </w:r>
    </w:p>
    <w:p>
      <w:pPr>
        <w:pStyle w:val="ListBullet"/>
        <w:spacing w:after="60"/>
      </w:pPr>
      <w:r>
        <w:t>Track billing, payment status, service-type contribution and sales against target.</w:t>
      </w:r>
    </w:p>
    <w:p>
      <w:pPr>
        <w:pStyle w:val="ListBullet"/>
        <w:spacing w:after="60"/>
      </w:pPr>
      <w:r>
        <w:t>Monitor laboratory test outcomes and department-level lab activity.</w:t>
      </w:r>
    </w:p>
    <w:p>
      <w:pPr>
        <w:pStyle w:val="ListBullet"/>
        <w:spacing w:after="60"/>
      </w:pPr>
      <w:r>
        <w:t>Analyze inventory sales, inventory quantities and high-performing medicines.</w:t>
      </w:r>
    </w:p>
    <w:p>
      <w:pPr>
        <w:pStyle w:val="ListBullet"/>
        <w:spacing w:after="60"/>
      </w:pPr>
      <w:r>
        <w:t>Compare sales and profit across years, months, departments and service types.</w:t>
      </w:r>
    </w:p>
    <w:p>
      <w:pPr>
        <w:pStyle w:val="ListBullet"/>
        <w:spacing w:after="60"/>
      </w:pPr>
      <w:r>
        <w:t>Enable management users to filter and investigate specific periods and organizational areas.</w:t>
      </w:r>
    </w:p>
    <w:p>
      <w:pPr>
        <w:pStyle w:val="Heading1"/>
      </w:pPr>
      <w:r>
        <w:t>3. Project Objectives</w:t>
      </w:r>
    </w:p>
    <w:p>
      <w:pPr>
        <w:pStyle w:val="ListBullet"/>
        <w:spacing w:after="60"/>
      </w:pPr>
      <w:r>
        <w:t>Create a consolidated management dashboard covering hospital, pharmacy and financial performance.</w:t>
      </w:r>
    </w:p>
    <w:p>
      <w:pPr>
        <w:pStyle w:val="ListBullet"/>
        <w:spacing w:after="60"/>
      </w:pPr>
      <w:r>
        <w:t>Measure patient, admission, appointment and prescription volumes.</w:t>
      </w:r>
    </w:p>
    <w:p>
      <w:pPr>
        <w:pStyle w:val="ListBullet"/>
        <w:spacing w:after="60"/>
      </w:pPr>
      <w:r>
        <w:t>Identify medicine categories and medicines contributing to sales and profit.</w:t>
      </w:r>
    </w:p>
    <w:p>
      <w:pPr>
        <w:pStyle w:val="ListBullet"/>
        <w:spacing w:after="60"/>
      </w:pPr>
      <w:r>
        <w:t>Track medicine sales trends and prescription activity by doctor.</w:t>
      </w:r>
    </w:p>
    <w:p>
      <w:pPr>
        <w:pStyle w:val="ListBullet"/>
        <w:spacing w:after="60"/>
      </w:pPr>
      <w:r>
        <w:t>Analyze billing by service type and payment status.</w:t>
      </w:r>
    </w:p>
    <w:p>
      <w:pPr>
        <w:pStyle w:val="ListBullet"/>
        <w:spacing w:after="60"/>
      </w:pPr>
      <w:r>
        <w:t>Compare sales with target values to identify performance gaps.</w:t>
      </w:r>
    </w:p>
    <w:p>
      <w:pPr>
        <w:pStyle w:val="ListBullet"/>
        <w:spacing w:after="60"/>
      </w:pPr>
      <w:r>
        <w:t>Monitor laboratory result status and department-level testing activity.</w:t>
      </w:r>
    </w:p>
    <w:p>
      <w:pPr>
        <w:pStyle w:val="ListBullet"/>
        <w:spacing w:after="60"/>
      </w:pPr>
      <w:r>
        <w:t>Track inventory sales trends, category contribution and inventory quantity.</w:t>
      </w:r>
    </w:p>
    <w:p>
      <w:pPr>
        <w:pStyle w:val="ListBullet"/>
        <w:spacing w:after="60"/>
      </w:pPr>
      <w:r>
        <w:t>Compare annual and monthly sales/profit trends.</w:t>
      </w:r>
    </w:p>
    <w:p>
      <w:pPr>
        <w:pStyle w:val="ListBullet"/>
        <w:spacing w:after="60"/>
      </w:pPr>
      <w:r>
        <w:t>Provide interactive filtering for year, month, department, hospital, category, medicine, payment mode and payment status.</w:t>
      </w:r>
    </w:p>
    <w:p>
      <w:pPr>
        <w:pStyle w:val="Heading1"/>
      </w:pPr>
      <w:r>
        <w:t>4. Data Foundation &amp; Analytical Model</w:t>
      </w:r>
    </w:p>
    <w:p>
      <w:pPr>
        <w:spacing w:after="120"/>
      </w:pPr>
      <w:r>
        <w:t>The SQL foundation defines a healthcare analytics database named pharmacy_analytics_mini. The model contains master and transaction entities covering hospitals, departments, doctors, staff, patients, medicines, vendors, admissions, appointments, billing, laboratory tests, prescriptions, inventory and a date dimension. fileciteturn2file2L1-L3</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9"/>
              </w:rPr>
              <w:t>Data Domain</w:t>
            </w:r>
          </w:p>
        </w:tc>
        <w:tc>
          <w:tcPr>
            <w:tcW w:type="dxa" w:w="3360"/>
            <w:vAlign w:val="center"/>
            <w:shd w:fill="D9EAF7"/>
          </w:tcPr>
          <w:p>
            <w:pPr>
              <w:spacing w:after="0"/>
            </w:pPr>
            <w:r/>
            <w:r>
              <w:rPr>
                <w:b/>
                <w:sz w:val="19"/>
              </w:rPr>
              <w:t>Core Tables / Entities</w:t>
            </w:r>
          </w:p>
        </w:tc>
        <w:tc>
          <w:tcPr>
            <w:tcW w:type="dxa" w:w="3360"/>
            <w:vAlign w:val="center"/>
            <w:shd w:fill="D9EAF7"/>
          </w:tcPr>
          <w:p>
            <w:pPr>
              <w:spacing w:after="0"/>
            </w:pPr>
            <w:r/>
            <w:r>
              <w:rPr>
                <w:b/>
                <w:sz w:val="19"/>
              </w:rPr>
              <w:t>Analytical Purpose</w:t>
            </w:r>
          </w:p>
        </w:tc>
      </w:tr>
      <w:tr>
        <w:tc>
          <w:tcPr>
            <w:tcW w:type="dxa" w:w="3360"/>
            <w:vAlign w:val="center"/>
          </w:tcPr>
          <w:p>
            <w:pPr>
              <w:spacing w:after="0"/>
            </w:pPr>
            <w:r/>
            <w:r>
              <w:rPr>
                <w:b w:val="0"/>
                <w:sz w:val="18"/>
              </w:rPr>
              <w:t>Hospital &amp; Organization</w:t>
            </w:r>
          </w:p>
        </w:tc>
        <w:tc>
          <w:tcPr>
            <w:tcW w:type="dxa" w:w="3360"/>
            <w:vAlign w:val="center"/>
          </w:tcPr>
          <w:p>
            <w:pPr>
              <w:spacing w:after="0"/>
            </w:pPr>
            <w:r/>
            <w:r>
              <w:rPr>
                <w:b w:val="0"/>
                <w:sz w:val="18"/>
              </w:rPr>
              <w:t>Hospitals, Departments, Doctors, Staff</w:t>
            </w:r>
          </w:p>
        </w:tc>
        <w:tc>
          <w:tcPr>
            <w:tcW w:type="dxa" w:w="3360"/>
            <w:vAlign w:val="center"/>
          </w:tcPr>
          <w:p>
            <w:pPr>
              <w:spacing w:after="0"/>
            </w:pPr>
            <w:r/>
            <w:r>
              <w:rPr>
                <w:b w:val="0"/>
                <w:sz w:val="18"/>
              </w:rPr>
              <w:t>Hospital structure, departmental and workforce context</w:t>
            </w:r>
          </w:p>
        </w:tc>
      </w:tr>
      <w:tr>
        <w:tc>
          <w:tcPr>
            <w:tcW w:type="dxa" w:w="3360"/>
            <w:vAlign w:val="center"/>
          </w:tcPr>
          <w:p>
            <w:pPr>
              <w:spacing w:after="0"/>
            </w:pPr>
            <w:r/>
            <w:r>
              <w:rPr>
                <w:b w:val="0"/>
                <w:sz w:val="18"/>
              </w:rPr>
              <w:t>Patients</w:t>
            </w:r>
          </w:p>
        </w:tc>
        <w:tc>
          <w:tcPr>
            <w:tcW w:type="dxa" w:w="3360"/>
            <w:vAlign w:val="center"/>
          </w:tcPr>
          <w:p>
            <w:pPr>
              <w:spacing w:after="0"/>
            </w:pPr>
            <w:r/>
            <w:r>
              <w:rPr>
                <w:b w:val="0"/>
                <w:sz w:val="18"/>
              </w:rPr>
              <w:t>Patients</w:t>
            </w:r>
          </w:p>
        </w:tc>
        <w:tc>
          <w:tcPr>
            <w:tcW w:type="dxa" w:w="3360"/>
            <w:vAlign w:val="center"/>
          </w:tcPr>
          <w:p>
            <w:pPr>
              <w:spacing w:after="0"/>
            </w:pPr>
            <w:r/>
            <w:r>
              <w:rPr>
                <w:b w:val="0"/>
                <w:sz w:val="18"/>
              </w:rPr>
              <w:t>Demographics, insurance and registration analysis</w:t>
            </w:r>
          </w:p>
        </w:tc>
      </w:tr>
      <w:tr>
        <w:tc>
          <w:tcPr>
            <w:tcW w:type="dxa" w:w="3360"/>
            <w:vAlign w:val="center"/>
          </w:tcPr>
          <w:p>
            <w:pPr>
              <w:spacing w:after="0"/>
            </w:pPr>
            <w:r/>
            <w:r>
              <w:rPr>
                <w:b w:val="0"/>
                <w:sz w:val="18"/>
              </w:rPr>
              <w:t>Hospital Activity</w:t>
            </w:r>
          </w:p>
        </w:tc>
        <w:tc>
          <w:tcPr>
            <w:tcW w:type="dxa" w:w="3360"/>
            <w:vAlign w:val="center"/>
          </w:tcPr>
          <w:p>
            <w:pPr>
              <w:spacing w:after="0"/>
            </w:pPr>
            <w:r/>
            <w:r>
              <w:rPr>
                <w:b w:val="0"/>
                <w:sz w:val="18"/>
              </w:rPr>
              <w:t>Admissions, Appointments</w:t>
            </w:r>
          </w:p>
        </w:tc>
        <w:tc>
          <w:tcPr>
            <w:tcW w:type="dxa" w:w="3360"/>
            <w:vAlign w:val="center"/>
          </w:tcPr>
          <w:p>
            <w:pPr>
              <w:spacing w:after="0"/>
            </w:pPr>
            <w:r/>
            <w:r>
              <w:rPr>
                <w:b w:val="0"/>
                <w:sz w:val="18"/>
              </w:rPr>
              <w:t>Patient flow, admissions, appointment and stay analysis</w:t>
            </w:r>
          </w:p>
        </w:tc>
      </w:tr>
      <w:tr>
        <w:tc>
          <w:tcPr>
            <w:tcW w:type="dxa" w:w="3360"/>
            <w:vAlign w:val="center"/>
          </w:tcPr>
          <w:p>
            <w:pPr>
              <w:spacing w:after="0"/>
            </w:pPr>
            <w:r/>
            <w:r>
              <w:rPr>
                <w:b w:val="0"/>
                <w:sz w:val="18"/>
              </w:rPr>
              <w:t>Pharmacy</w:t>
            </w:r>
          </w:p>
        </w:tc>
        <w:tc>
          <w:tcPr>
            <w:tcW w:type="dxa" w:w="3360"/>
            <w:vAlign w:val="center"/>
          </w:tcPr>
          <w:p>
            <w:pPr>
              <w:spacing w:after="0"/>
            </w:pPr>
            <w:r/>
            <w:r>
              <w:rPr>
                <w:b w:val="0"/>
                <w:sz w:val="18"/>
              </w:rPr>
              <w:t>Medicines, Prescriptions</w:t>
            </w:r>
          </w:p>
        </w:tc>
        <w:tc>
          <w:tcPr>
            <w:tcW w:type="dxa" w:w="3360"/>
            <w:vAlign w:val="center"/>
          </w:tcPr>
          <w:p>
            <w:pPr>
              <w:spacing w:after="0"/>
            </w:pPr>
            <w:r/>
            <w:r>
              <w:rPr>
                <w:b w:val="0"/>
                <w:sz w:val="18"/>
              </w:rPr>
              <w:t>Medicine demand, sales, profit and prescription analysis</w:t>
            </w:r>
          </w:p>
        </w:tc>
      </w:tr>
      <w:tr>
        <w:tc>
          <w:tcPr>
            <w:tcW w:type="dxa" w:w="3360"/>
            <w:vAlign w:val="center"/>
          </w:tcPr>
          <w:p>
            <w:pPr>
              <w:spacing w:after="0"/>
            </w:pPr>
            <w:r/>
            <w:r>
              <w:rPr>
                <w:b w:val="0"/>
                <w:sz w:val="18"/>
              </w:rPr>
              <w:t>Finance</w:t>
            </w:r>
          </w:p>
        </w:tc>
        <w:tc>
          <w:tcPr>
            <w:tcW w:type="dxa" w:w="3360"/>
            <w:vAlign w:val="center"/>
          </w:tcPr>
          <w:p>
            <w:pPr>
              <w:spacing w:after="0"/>
            </w:pPr>
            <w:r/>
            <w:r>
              <w:rPr>
                <w:b w:val="0"/>
                <w:sz w:val="18"/>
              </w:rPr>
              <w:t>Billing</w:t>
            </w:r>
          </w:p>
        </w:tc>
        <w:tc>
          <w:tcPr>
            <w:tcW w:type="dxa" w:w="3360"/>
            <w:vAlign w:val="center"/>
          </w:tcPr>
          <w:p>
            <w:pPr>
              <w:spacing w:after="0"/>
            </w:pPr>
            <w:r/>
            <w:r>
              <w:rPr>
                <w:b w:val="0"/>
                <w:sz w:val="18"/>
              </w:rPr>
              <w:t>Sales, billing, payment, target and profit analysis</w:t>
            </w:r>
          </w:p>
        </w:tc>
      </w:tr>
      <w:tr>
        <w:tc>
          <w:tcPr>
            <w:tcW w:type="dxa" w:w="3360"/>
            <w:vAlign w:val="center"/>
          </w:tcPr>
          <w:p>
            <w:pPr>
              <w:spacing w:after="0"/>
            </w:pPr>
            <w:r/>
            <w:r>
              <w:rPr>
                <w:b w:val="0"/>
                <w:sz w:val="18"/>
              </w:rPr>
              <w:t>Laboratory</w:t>
            </w:r>
          </w:p>
        </w:tc>
        <w:tc>
          <w:tcPr>
            <w:tcW w:type="dxa" w:w="3360"/>
            <w:vAlign w:val="center"/>
          </w:tcPr>
          <w:p>
            <w:pPr>
              <w:spacing w:after="0"/>
            </w:pPr>
            <w:r/>
            <w:r>
              <w:rPr>
                <w:b w:val="0"/>
                <w:sz w:val="18"/>
              </w:rPr>
              <w:t>Lab_Tests</w:t>
            </w:r>
          </w:p>
        </w:tc>
        <w:tc>
          <w:tcPr>
            <w:tcW w:type="dxa" w:w="3360"/>
            <w:vAlign w:val="center"/>
          </w:tcPr>
          <w:p>
            <w:pPr>
              <w:spacing w:after="0"/>
            </w:pPr>
            <w:r/>
            <w:r>
              <w:rPr>
                <w:b w:val="0"/>
                <w:sz w:val="18"/>
              </w:rPr>
              <w:t>Test volume and result-status analysis</w:t>
            </w:r>
          </w:p>
        </w:tc>
      </w:tr>
      <w:tr>
        <w:tc>
          <w:tcPr>
            <w:tcW w:type="dxa" w:w="3360"/>
            <w:vAlign w:val="center"/>
          </w:tcPr>
          <w:p>
            <w:pPr>
              <w:spacing w:after="0"/>
            </w:pPr>
            <w:r/>
            <w:r>
              <w:rPr>
                <w:b w:val="0"/>
                <w:sz w:val="18"/>
              </w:rPr>
              <w:t>Inventory</w:t>
            </w:r>
          </w:p>
        </w:tc>
        <w:tc>
          <w:tcPr>
            <w:tcW w:type="dxa" w:w="3360"/>
            <w:vAlign w:val="center"/>
          </w:tcPr>
          <w:p>
            <w:pPr>
              <w:spacing w:after="0"/>
            </w:pPr>
            <w:r/>
            <w:r>
              <w:rPr>
                <w:b w:val="0"/>
                <w:sz w:val="18"/>
              </w:rPr>
              <w:t>Inventory, Vendors</w:t>
            </w:r>
          </w:p>
        </w:tc>
        <w:tc>
          <w:tcPr>
            <w:tcW w:type="dxa" w:w="3360"/>
            <w:vAlign w:val="center"/>
          </w:tcPr>
          <w:p>
            <w:pPr>
              <w:spacing w:after="0"/>
            </w:pPr>
            <w:r/>
            <w:r>
              <w:rPr>
                <w:b w:val="0"/>
                <w:sz w:val="18"/>
              </w:rPr>
              <w:t>Inventory movement, sales, vendors and category analysis</w:t>
            </w:r>
          </w:p>
        </w:tc>
      </w:tr>
      <w:tr>
        <w:tc>
          <w:tcPr>
            <w:tcW w:type="dxa" w:w="3360"/>
            <w:vAlign w:val="center"/>
          </w:tcPr>
          <w:p>
            <w:pPr>
              <w:spacing w:after="0"/>
            </w:pPr>
            <w:r/>
            <w:r>
              <w:rPr>
                <w:b w:val="0"/>
                <w:sz w:val="18"/>
              </w:rPr>
              <w:t>Time</w:t>
            </w:r>
          </w:p>
        </w:tc>
        <w:tc>
          <w:tcPr>
            <w:tcW w:type="dxa" w:w="3360"/>
            <w:vAlign w:val="center"/>
          </w:tcPr>
          <w:p>
            <w:pPr>
              <w:spacing w:after="0"/>
            </w:pPr>
            <w:r/>
            <w:r>
              <w:rPr>
                <w:b w:val="0"/>
                <w:sz w:val="18"/>
              </w:rPr>
              <w:t>DimDate</w:t>
            </w:r>
          </w:p>
        </w:tc>
        <w:tc>
          <w:tcPr>
            <w:tcW w:type="dxa" w:w="3360"/>
            <w:vAlign w:val="center"/>
          </w:tcPr>
          <w:p>
            <w:pPr>
              <w:spacing w:after="0"/>
            </w:pPr>
            <w:r/>
            <w:r>
              <w:rPr>
                <w:b w:val="0"/>
                <w:sz w:val="18"/>
              </w:rPr>
              <w:t>Year, quarter, month, week and calendar analysis</w:t>
            </w:r>
          </w:p>
        </w:tc>
      </w:tr>
    </w:tbl>
    <w:p>
      <w:pPr>
        <w:spacing w:after="20"/>
      </w:pPr>
    </w:p>
    <w:p>
      <w:pPr>
        <w:spacing w:after="120"/>
      </w:pPr>
      <w:r>
        <w:t>The billing table contains transaction-level fields including Bill_Date, Service_Type, Payment_Mode, Payment_Status, Sales, Discount, Net_Sales, Target and Profit. fileciteturn2file2L104-L120</w:t>
      </w:r>
    </w:p>
    <w:p>
      <w:pPr>
        <w:spacing w:after="120"/>
      </w:pPr>
      <w:r>
        <w:t>The prescription and inventory structures support medicine-level commercial analysis through quantity, selling price, sales, cost and profit fields, while inventory records contain transaction type, quantity, purchase value and sales value. fileciteturn2file2L136-L166</w:t>
      </w:r>
    </w:p>
    <w:p>
      <w:pPr>
        <w:pStyle w:val="Heading1"/>
      </w:pPr>
      <w:r>
        <w:t>5. Dashboard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9"/>
              </w:rPr>
              <w:t>Page</w:t>
            </w:r>
          </w:p>
        </w:tc>
        <w:tc>
          <w:tcPr>
            <w:tcW w:type="dxa" w:w="3360"/>
            <w:vAlign w:val="center"/>
            <w:shd w:fill="D9EAF7"/>
          </w:tcPr>
          <w:p>
            <w:pPr>
              <w:spacing w:after="0"/>
            </w:pPr>
            <w:r/>
            <w:r>
              <w:rPr>
                <w:b/>
                <w:sz w:val="19"/>
              </w:rPr>
              <w:t>Analytical Focus</w:t>
            </w:r>
          </w:p>
        </w:tc>
        <w:tc>
          <w:tcPr>
            <w:tcW w:type="dxa" w:w="3360"/>
            <w:vAlign w:val="center"/>
            <w:shd w:fill="D9EAF7"/>
          </w:tcPr>
          <w:p>
            <w:pPr>
              <w:spacing w:after="0"/>
            </w:pPr>
            <w:r/>
            <w:r>
              <w:rPr>
                <w:b/>
                <w:sz w:val="19"/>
              </w:rPr>
              <w:t>Management Questions</w:t>
            </w:r>
          </w:p>
        </w:tc>
      </w:tr>
      <w:tr>
        <w:tc>
          <w:tcPr>
            <w:tcW w:type="dxa" w:w="3360"/>
            <w:vAlign w:val="center"/>
          </w:tcPr>
          <w:p>
            <w:pPr>
              <w:spacing w:after="0"/>
            </w:pPr>
            <w:r/>
            <w:r>
              <w:rPr>
                <w:b w:val="0"/>
                <w:sz w:val="18"/>
              </w:rPr>
              <w:t>1. Pharmacy &amp; Hospital Executive Overview</w:t>
            </w:r>
          </w:p>
        </w:tc>
        <w:tc>
          <w:tcPr>
            <w:tcW w:type="dxa" w:w="3360"/>
            <w:vAlign w:val="center"/>
          </w:tcPr>
          <w:p>
            <w:pPr>
              <w:spacing w:after="0"/>
            </w:pPr>
            <w:r/>
            <w:r>
              <w:rPr>
                <w:b w:val="0"/>
                <w:sz w:val="18"/>
              </w:rPr>
              <w:t>Overall hospital, pharmacy and revenue snapshot</w:t>
            </w:r>
          </w:p>
        </w:tc>
        <w:tc>
          <w:tcPr>
            <w:tcW w:type="dxa" w:w="3360"/>
            <w:vAlign w:val="center"/>
          </w:tcPr>
          <w:p>
            <w:pPr>
              <w:spacing w:after="0"/>
            </w:pPr>
            <w:r/>
            <w:r>
              <w:rPr>
                <w:b w:val="0"/>
                <w:sz w:val="18"/>
              </w:rPr>
              <w:t>What is the current high-level performance?</w:t>
            </w:r>
          </w:p>
        </w:tc>
      </w:tr>
      <w:tr>
        <w:tc>
          <w:tcPr>
            <w:tcW w:type="dxa" w:w="3360"/>
            <w:vAlign w:val="center"/>
          </w:tcPr>
          <w:p>
            <w:pPr>
              <w:spacing w:after="0"/>
            </w:pPr>
            <w:r/>
            <w:r>
              <w:rPr>
                <w:b w:val="0"/>
                <w:sz w:val="18"/>
              </w:rPr>
              <w:t>2. Pharmacy &amp; Medicine Analytics</w:t>
            </w:r>
          </w:p>
        </w:tc>
        <w:tc>
          <w:tcPr>
            <w:tcW w:type="dxa" w:w="3360"/>
            <w:vAlign w:val="center"/>
          </w:tcPr>
          <w:p>
            <w:pPr>
              <w:spacing w:after="0"/>
            </w:pPr>
            <w:r/>
            <w:r>
              <w:rPr>
                <w:b w:val="0"/>
                <w:sz w:val="18"/>
              </w:rPr>
              <w:t>Medicine sales, prescriptions, category and profit</w:t>
            </w:r>
          </w:p>
        </w:tc>
        <w:tc>
          <w:tcPr>
            <w:tcW w:type="dxa" w:w="3360"/>
            <w:vAlign w:val="center"/>
          </w:tcPr>
          <w:p>
            <w:pPr>
              <w:spacing w:after="0"/>
            </w:pPr>
            <w:r/>
            <w:r>
              <w:rPr>
                <w:b w:val="0"/>
                <w:sz w:val="18"/>
              </w:rPr>
              <w:t>Which medicines/categories drive pharmacy performance?</w:t>
            </w:r>
          </w:p>
        </w:tc>
      </w:tr>
      <w:tr>
        <w:tc>
          <w:tcPr>
            <w:tcW w:type="dxa" w:w="3360"/>
            <w:vAlign w:val="center"/>
          </w:tcPr>
          <w:p>
            <w:pPr>
              <w:spacing w:after="0"/>
            </w:pPr>
            <w:r/>
            <w:r>
              <w:rPr>
                <w:b w:val="0"/>
                <w:sz w:val="18"/>
              </w:rPr>
              <w:t>3. Hospital &amp; Patient Analytics</w:t>
            </w:r>
          </w:p>
        </w:tc>
        <w:tc>
          <w:tcPr>
            <w:tcW w:type="dxa" w:w="3360"/>
            <w:vAlign w:val="center"/>
          </w:tcPr>
          <w:p>
            <w:pPr>
              <w:spacing w:after="0"/>
            </w:pPr>
            <w:r/>
            <w:r>
              <w:rPr>
                <w:b w:val="0"/>
                <w:sz w:val="18"/>
              </w:rPr>
              <w:t>Admissions, appointments, patients and length of stay</w:t>
            </w:r>
          </w:p>
        </w:tc>
        <w:tc>
          <w:tcPr>
            <w:tcW w:type="dxa" w:w="3360"/>
            <w:vAlign w:val="center"/>
          </w:tcPr>
          <w:p>
            <w:pPr>
              <w:spacing w:after="0"/>
            </w:pPr>
            <w:r/>
            <w:r>
              <w:rPr>
                <w:b w:val="0"/>
                <w:sz w:val="18"/>
              </w:rPr>
              <w:t>How is hospital activity distributed?</w:t>
            </w:r>
          </w:p>
        </w:tc>
      </w:tr>
      <w:tr>
        <w:tc>
          <w:tcPr>
            <w:tcW w:type="dxa" w:w="3360"/>
            <w:vAlign w:val="center"/>
          </w:tcPr>
          <w:p>
            <w:pPr>
              <w:spacing w:after="0"/>
            </w:pPr>
            <w:r/>
            <w:r>
              <w:rPr>
                <w:b w:val="0"/>
                <w:sz w:val="18"/>
              </w:rPr>
              <w:t>4. Financial &amp; Billing Analytics</w:t>
            </w:r>
          </w:p>
        </w:tc>
        <w:tc>
          <w:tcPr>
            <w:tcW w:type="dxa" w:w="3360"/>
            <w:vAlign w:val="center"/>
          </w:tcPr>
          <w:p>
            <w:pPr>
              <w:spacing w:after="0"/>
            </w:pPr>
            <w:r/>
            <w:r>
              <w:rPr>
                <w:b w:val="0"/>
                <w:sz w:val="18"/>
              </w:rPr>
              <w:t>Billing, payment status, service type and target</w:t>
            </w:r>
          </w:p>
        </w:tc>
        <w:tc>
          <w:tcPr>
            <w:tcW w:type="dxa" w:w="3360"/>
            <w:vAlign w:val="center"/>
          </w:tcPr>
          <w:p>
            <w:pPr>
              <w:spacing w:after="0"/>
            </w:pPr>
            <w:r/>
            <w:r>
              <w:rPr>
                <w:b w:val="0"/>
                <w:sz w:val="18"/>
              </w:rPr>
              <w:t>How are sales, billing and profit performing?</w:t>
            </w:r>
          </w:p>
        </w:tc>
      </w:tr>
      <w:tr>
        <w:tc>
          <w:tcPr>
            <w:tcW w:type="dxa" w:w="3360"/>
            <w:vAlign w:val="center"/>
          </w:tcPr>
          <w:p>
            <w:pPr>
              <w:spacing w:after="0"/>
            </w:pPr>
            <w:r/>
            <w:r>
              <w:rPr>
                <w:b w:val="0"/>
                <w:sz w:val="18"/>
              </w:rPr>
              <w:t>5. Laboratory &amp; Inventory Analytics</w:t>
            </w:r>
          </w:p>
        </w:tc>
        <w:tc>
          <w:tcPr>
            <w:tcW w:type="dxa" w:w="3360"/>
            <w:vAlign w:val="center"/>
          </w:tcPr>
          <w:p>
            <w:pPr>
              <w:spacing w:after="0"/>
            </w:pPr>
            <w:r/>
            <w:r>
              <w:rPr>
                <w:b w:val="0"/>
                <w:sz w:val="18"/>
              </w:rPr>
              <w:t>Lab results, testing and inventory sales</w:t>
            </w:r>
          </w:p>
        </w:tc>
        <w:tc>
          <w:tcPr>
            <w:tcW w:type="dxa" w:w="3360"/>
            <w:vAlign w:val="center"/>
          </w:tcPr>
          <w:p>
            <w:pPr>
              <w:spacing w:after="0"/>
            </w:pPr>
            <w:r/>
            <w:r>
              <w:rPr>
                <w:b w:val="0"/>
                <w:sz w:val="18"/>
              </w:rPr>
              <w:t>What is happening in diagnostics and inventory?</w:t>
            </w:r>
          </w:p>
        </w:tc>
      </w:tr>
      <w:tr>
        <w:tc>
          <w:tcPr>
            <w:tcW w:type="dxa" w:w="3360"/>
            <w:vAlign w:val="center"/>
          </w:tcPr>
          <w:p>
            <w:pPr>
              <w:spacing w:after="0"/>
            </w:pPr>
            <w:r/>
            <w:r>
              <w:rPr>
                <w:b w:val="0"/>
                <w:sz w:val="18"/>
              </w:rPr>
              <w:t>6. Overall Performance &amp; Key Insights</w:t>
            </w:r>
          </w:p>
        </w:tc>
        <w:tc>
          <w:tcPr>
            <w:tcW w:type="dxa" w:w="3360"/>
            <w:vAlign w:val="center"/>
          </w:tcPr>
          <w:p>
            <w:pPr>
              <w:spacing w:after="0"/>
            </w:pPr>
            <w:r/>
            <w:r>
              <w:rPr>
                <w:b w:val="0"/>
                <w:sz w:val="18"/>
              </w:rPr>
              <w:t>Cross-year, monthly and departmental performance</w:t>
            </w:r>
          </w:p>
        </w:tc>
        <w:tc>
          <w:tcPr>
            <w:tcW w:type="dxa" w:w="3360"/>
            <w:vAlign w:val="center"/>
          </w:tcPr>
          <w:p>
            <w:pPr>
              <w:spacing w:after="0"/>
            </w:pPr>
            <w:r/>
            <w:r>
              <w:rPr>
                <w:b w:val="0"/>
                <w:sz w:val="18"/>
              </w:rPr>
              <w:t>How are sales, profit and targets evolving?</w:t>
            </w:r>
          </w:p>
        </w:tc>
      </w:tr>
    </w:tbl>
    <w:p>
      <w:pPr>
        <w:spacing w:after="20"/>
      </w:pPr>
    </w:p>
    <w:p>
      <w:pPr>
        <w:pStyle w:val="Heading1"/>
      </w:pPr>
      <w:r>
        <w:t>6. Executive KPI Snapshot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9"/>
              </w:rPr>
              <w:t>KPI</w:t>
            </w:r>
          </w:p>
        </w:tc>
        <w:tc>
          <w:tcPr>
            <w:tcW w:type="dxa" w:w="3360"/>
            <w:vAlign w:val="center"/>
            <w:shd w:fill="D9EAF7"/>
          </w:tcPr>
          <w:p>
            <w:pPr>
              <w:spacing w:after="0"/>
            </w:pPr>
            <w:r/>
            <w:r>
              <w:rPr>
                <w:b/>
                <w:sz w:val="19"/>
              </w:rPr>
              <w:t>Dashboard Display</w:t>
            </w:r>
          </w:p>
        </w:tc>
        <w:tc>
          <w:tcPr>
            <w:tcW w:type="dxa" w:w="3360"/>
            <w:vAlign w:val="center"/>
            <w:shd w:fill="D9EAF7"/>
          </w:tcPr>
          <w:p>
            <w:pPr>
              <w:spacing w:after="0"/>
            </w:pPr>
            <w:r/>
            <w:r>
              <w:rPr>
                <w:b/>
                <w:sz w:val="19"/>
              </w:rPr>
              <w:t>Business Meaning</w:t>
            </w:r>
          </w:p>
        </w:tc>
      </w:tr>
      <w:tr>
        <w:tc>
          <w:tcPr>
            <w:tcW w:type="dxa" w:w="3360"/>
            <w:vAlign w:val="center"/>
          </w:tcPr>
          <w:p>
            <w:pPr>
              <w:spacing w:after="0"/>
            </w:pPr>
            <w:r/>
            <w:r>
              <w:rPr>
                <w:b w:val="0"/>
                <w:sz w:val="18"/>
              </w:rPr>
              <w:t>Total Patients</w:t>
            </w:r>
          </w:p>
        </w:tc>
        <w:tc>
          <w:tcPr>
            <w:tcW w:type="dxa" w:w="3360"/>
            <w:vAlign w:val="center"/>
          </w:tcPr>
          <w:p>
            <w:pPr>
              <w:spacing w:after="0"/>
            </w:pPr>
            <w:r/>
            <w:r>
              <w:rPr>
                <w:b w:val="0"/>
                <w:sz w:val="18"/>
              </w:rPr>
              <w:t>50K</w:t>
            </w:r>
          </w:p>
        </w:tc>
        <w:tc>
          <w:tcPr>
            <w:tcW w:type="dxa" w:w="3360"/>
            <w:vAlign w:val="center"/>
          </w:tcPr>
          <w:p>
            <w:pPr>
              <w:spacing w:after="0"/>
            </w:pPr>
            <w:r/>
            <w:r>
              <w:rPr>
                <w:b w:val="0"/>
                <w:sz w:val="18"/>
              </w:rPr>
              <w:t>Overall patient population represented</w:t>
            </w:r>
          </w:p>
        </w:tc>
      </w:tr>
      <w:tr>
        <w:tc>
          <w:tcPr>
            <w:tcW w:type="dxa" w:w="3360"/>
            <w:vAlign w:val="center"/>
          </w:tcPr>
          <w:p>
            <w:pPr>
              <w:spacing w:after="0"/>
            </w:pPr>
            <w:r/>
            <w:r>
              <w:rPr>
                <w:b w:val="0"/>
                <w:sz w:val="18"/>
              </w:rPr>
              <w:t>Total Admissions</w:t>
            </w:r>
          </w:p>
        </w:tc>
        <w:tc>
          <w:tcPr>
            <w:tcW w:type="dxa" w:w="3360"/>
            <w:vAlign w:val="center"/>
          </w:tcPr>
          <w:p>
            <w:pPr>
              <w:spacing w:after="0"/>
            </w:pPr>
            <w:r/>
            <w:r>
              <w:rPr>
                <w:b w:val="0"/>
                <w:sz w:val="18"/>
              </w:rPr>
              <w:t>10K</w:t>
            </w:r>
          </w:p>
        </w:tc>
        <w:tc>
          <w:tcPr>
            <w:tcW w:type="dxa" w:w="3360"/>
            <w:vAlign w:val="center"/>
          </w:tcPr>
          <w:p>
            <w:pPr>
              <w:spacing w:after="0"/>
            </w:pPr>
            <w:r/>
            <w:r>
              <w:rPr>
                <w:b w:val="0"/>
                <w:sz w:val="18"/>
              </w:rPr>
              <w:t>Admission activity represented</w:t>
            </w:r>
          </w:p>
        </w:tc>
      </w:tr>
      <w:tr>
        <w:tc>
          <w:tcPr>
            <w:tcW w:type="dxa" w:w="3360"/>
            <w:vAlign w:val="center"/>
          </w:tcPr>
          <w:p>
            <w:pPr>
              <w:spacing w:after="0"/>
            </w:pPr>
            <w:r/>
            <w:r>
              <w:rPr>
                <w:b w:val="0"/>
                <w:sz w:val="18"/>
              </w:rPr>
              <w:t>Total Appointments</w:t>
            </w:r>
          </w:p>
        </w:tc>
        <w:tc>
          <w:tcPr>
            <w:tcW w:type="dxa" w:w="3360"/>
            <w:vAlign w:val="center"/>
          </w:tcPr>
          <w:p>
            <w:pPr>
              <w:spacing w:after="0"/>
            </w:pPr>
            <w:r/>
            <w:r>
              <w:rPr>
                <w:b w:val="0"/>
                <w:sz w:val="18"/>
              </w:rPr>
              <w:t>10K</w:t>
            </w:r>
          </w:p>
        </w:tc>
        <w:tc>
          <w:tcPr>
            <w:tcW w:type="dxa" w:w="3360"/>
            <w:vAlign w:val="center"/>
          </w:tcPr>
          <w:p>
            <w:pPr>
              <w:spacing w:after="0"/>
            </w:pPr>
            <w:r/>
            <w:r>
              <w:rPr>
                <w:b w:val="0"/>
                <w:sz w:val="18"/>
              </w:rPr>
              <w:t>Appointment volume represented</w:t>
            </w:r>
          </w:p>
        </w:tc>
      </w:tr>
      <w:tr>
        <w:tc>
          <w:tcPr>
            <w:tcW w:type="dxa" w:w="3360"/>
            <w:vAlign w:val="center"/>
          </w:tcPr>
          <w:p>
            <w:pPr>
              <w:spacing w:after="0"/>
            </w:pPr>
            <w:r/>
            <w:r>
              <w:rPr>
                <w:b w:val="0"/>
                <w:sz w:val="18"/>
              </w:rPr>
              <w:t>Total Prescriptions</w:t>
            </w:r>
          </w:p>
        </w:tc>
        <w:tc>
          <w:tcPr>
            <w:tcW w:type="dxa" w:w="3360"/>
            <w:vAlign w:val="center"/>
          </w:tcPr>
          <w:p>
            <w:pPr>
              <w:spacing w:after="0"/>
            </w:pPr>
            <w:r/>
            <w:r>
              <w:rPr>
                <w:b w:val="0"/>
                <w:sz w:val="18"/>
              </w:rPr>
              <w:t>10K</w:t>
            </w:r>
          </w:p>
        </w:tc>
        <w:tc>
          <w:tcPr>
            <w:tcW w:type="dxa" w:w="3360"/>
            <w:vAlign w:val="center"/>
          </w:tcPr>
          <w:p>
            <w:pPr>
              <w:spacing w:after="0"/>
            </w:pPr>
            <w:r/>
            <w:r>
              <w:rPr>
                <w:b w:val="0"/>
                <w:sz w:val="18"/>
              </w:rPr>
              <w:t>Prescription activity represented</w:t>
            </w:r>
          </w:p>
        </w:tc>
      </w:tr>
      <w:tr>
        <w:tc>
          <w:tcPr>
            <w:tcW w:type="dxa" w:w="3360"/>
            <w:vAlign w:val="center"/>
          </w:tcPr>
          <w:p>
            <w:pPr>
              <w:spacing w:after="0"/>
            </w:pPr>
            <w:r/>
            <w:r>
              <w:rPr>
                <w:b w:val="0"/>
                <w:sz w:val="18"/>
              </w:rPr>
              <w:t>Total Medicines</w:t>
            </w:r>
          </w:p>
        </w:tc>
        <w:tc>
          <w:tcPr>
            <w:tcW w:type="dxa" w:w="3360"/>
            <w:vAlign w:val="center"/>
          </w:tcPr>
          <w:p>
            <w:pPr>
              <w:spacing w:after="0"/>
            </w:pPr>
            <w:r/>
            <w:r>
              <w:rPr>
                <w:b w:val="0"/>
                <w:sz w:val="18"/>
              </w:rPr>
              <w:t>2K</w:t>
            </w:r>
          </w:p>
        </w:tc>
        <w:tc>
          <w:tcPr>
            <w:tcW w:type="dxa" w:w="3360"/>
            <w:vAlign w:val="center"/>
          </w:tcPr>
          <w:p>
            <w:pPr>
              <w:spacing w:after="0"/>
            </w:pPr>
            <w:r/>
            <w:r>
              <w:rPr>
                <w:b w:val="0"/>
                <w:sz w:val="18"/>
              </w:rPr>
              <w:t>Medicine master/product breadth</w:t>
            </w:r>
          </w:p>
        </w:tc>
      </w:tr>
      <w:tr>
        <w:tc>
          <w:tcPr>
            <w:tcW w:type="dxa" w:w="3360"/>
            <w:vAlign w:val="center"/>
          </w:tcPr>
          <w:p>
            <w:pPr>
              <w:spacing w:after="0"/>
            </w:pPr>
            <w:r/>
            <w:r>
              <w:rPr>
                <w:b w:val="0"/>
                <w:sz w:val="18"/>
              </w:rPr>
              <w:t>Total Sales</w:t>
            </w:r>
          </w:p>
        </w:tc>
        <w:tc>
          <w:tcPr>
            <w:tcW w:type="dxa" w:w="3360"/>
            <w:vAlign w:val="center"/>
          </w:tcPr>
          <w:p>
            <w:pPr>
              <w:spacing w:after="0"/>
            </w:pPr>
            <w:r/>
            <w:r>
              <w:rPr>
                <w:b w:val="0"/>
                <w:sz w:val="18"/>
              </w:rPr>
              <w:t>₹75.86M</w:t>
            </w:r>
          </w:p>
        </w:tc>
        <w:tc>
          <w:tcPr>
            <w:tcW w:type="dxa" w:w="3360"/>
            <w:vAlign w:val="center"/>
          </w:tcPr>
          <w:p>
            <w:pPr>
              <w:spacing w:after="0"/>
            </w:pPr>
            <w:r/>
            <w:r>
              <w:rPr>
                <w:b w:val="0"/>
                <w:sz w:val="18"/>
              </w:rPr>
              <w:t>Sales value displayed across the financial view</w:t>
            </w:r>
          </w:p>
        </w:tc>
      </w:tr>
      <w:tr>
        <w:tc>
          <w:tcPr>
            <w:tcW w:type="dxa" w:w="3360"/>
            <w:vAlign w:val="center"/>
          </w:tcPr>
          <w:p>
            <w:pPr>
              <w:spacing w:after="0"/>
            </w:pPr>
            <w:r/>
            <w:r>
              <w:rPr>
                <w:b w:val="0"/>
                <w:sz w:val="18"/>
              </w:rPr>
              <w:t>Total Profit</w:t>
            </w:r>
          </w:p>
        </w:tc>
        <w:tc>
          <w:tcPr>
            <w:tcW w:type="dxa" w:w="3360"/>
            <w:vAlign w:val="center"/>
          </w:tcPr>
          <w:p>
            <w:pPr>
              <w:spacing w:after="0"/>
            </w:pPr>
            <w:r/>
            <w:r>
              <w:rPr>
                <w:b w:val="0"/>
                <w:sz w:val="18"/>
              </w:rPr>
              <w:t>₹14.12M</w:t>
            </w:r>
          </w:p>
        </w:tc>
        <w:tc>
          <w:tcPr>
            <w:tcW w:type="dxa" w:w="3360"/>
            <w:vAlign w:val="center"/>
          </w:tcPr>
          <w:p>
            <w:pPr>
              <w:spacing w:after="0"/>
            </w:pPr>
            <w:r/>
            <w:r>
              <w:rPr>
                <w:b w:val="0"/>
                <w:sz w:val="18"/>
              </w:rPr>
              <w:t>Profit contribution displayed</w:t>
            </w:r>
          </w:p>
        </w:tc>
      </w:tr>
      <w:tr>
        <w:tc>
          <w:tcPr>
            <w:tcW w:type="dxa" w:w="3360"/>
            <w:vAlign w:val="center"/>
          </w:tcPr>
          <w:p>
            <w:pPr>
              <w:spacing w:after="0"/>
            </w:pPr>
            <w:r/>
            <w:r>
              <w:rPr>
                <w:b w:val="0"/>
                <w:sz w:val="18"/>
              </w:rPr>
              <w:t>Net Revenue</w:t>
            </w:r>
          </w:p>
        </w:tc>
        <w:tc>
          <w:tcPr>
            <w:tcW w:type="dxa" w:w="3360"/>
            <w:vAlign w:val="center"/>
          </w:tcPr>
          <w:p>
            <w:pPr>
              <w:spacing w:after="0"/>
            </w:pPr>
            <w:r/>
            <w:r>
              <w:rPr>
                <w:b w:val="0"/>
                <w:sz w:val="18"/>
              </w:rPr>
              <w:t>₹73.38M</w:t>
            </w:r>
          </w:p>
        </w:tc>
        <w:tc>
          <w:tcPr>
            <w:tcW w:type="dxa" w:w="3360"/>
            <w:vAlign w:val="center"/>
          </w:tcPr>
          <w:p>
            <w:pPr>
              <w:spacing w:after="0"/>
            </w:pPr>
            <w:r/>
            <w:r>
              <w:rPr>
                <w:b w:val="0"/>
                <w:sz w:val="18"/>
              </w:rPr>
              <w:t>Net revenue displayed in executive view</w:t>
            </w:r>
          </w:p>
        </w:tc>
      </w:tr>
      <w:tr>
        <w:tc>
          <w:tcPr>
            <w:tcW w:type="dxa" w:w="3360"/>
            <w:vAlign w:val="center"/>
          </w:tcPr>
          <w:p>
            <w:pPr>
              <w:spacing w:after="0"/>
            </w:pPr>
            <w:r/>
            <w:r>
              <w:rPr>
                <w:b w:val="0"/>
                <w:sz w:val="18"/>
              </w:rPr>
              <w:t>Total Billing</w:t>
            </w:r>
          </w:p>
        </w:tc>
        <w:tc>
          <w:tcPr>
            <w:tcW w:type="dxa" w:w="3360"/>
            <w:vAlign w:val="center"/>
          </w:tcPr>
          <w:p>
            <w:pPr>
              <w:spacing w:after="0"/>
            </w:pPr>
            <w:r/>
            <w:r>
              <w:rPr>
                <w:b w:val="0"/>
                <w:sz w:val="18"/>
              </w:rPr>
              <w:t>₹73.38M</w:t>
            </w:r>
          </w:p>
        </w:tc>
        <w:tc>
          <w:tcPr>
            <w:tcW w:type="dxa" w:w="3360"/>
            <w:vAlign w:val="center"/>
          </w:tcPr>
          <w:p>
            <w:pPr>
              <w:spacing w:after="0"/>
            </w:pPr>
            <w:r/>
            <w:r>
              <w:rPr>
                <w:b w:val="0"/>
                <w:sz w:val="18"/>
              </w:rPr>
              <w:t>Billing value displayed</w:t>
            </w:r>
          </w:p>
        </w:tc>
      </w:tr>
      <w:tr>
        <w:tc>
          <w:tcPr>
            <w:tcW w:type="dxa" w:w="3360"/>
            <w:vAlign w:val="center"/>
          </w:tcPr>
          <w:p>
            <w:pPr>
              <w:spacing w:after="0"/>
            </w:pPr>
            <w:r/>
            <w:r>
              <w:rPr>
                <w:b w:val="0"/>
                <w:sz w:val="18"/>
              </w:rPr>
              <w:t>Total Target</w:t>
            </w:r>
          </w:p>
        </w:tc>
        <w:tc>
          <w:tcPr>
            <w:tcW w:type="dxa" w:w="3360"/>
            <w:vAlign w:val="center"/>
          </w:tcPr>
          <w:p>
            <w:pPr>
              <w:spacing w:after="0"/>
            </w:pPr>
            <w:r/>
            <w:r>
              <w:rPr>
                <w:b w:val="0"/>
                <w:sz w:val="18"/>
              </w:rPr>
              <w:t>₹78.54M</w:t>
            </w:r>
          </w:p>
        </w:tc>
        <w:tc>
          <w:tcPr>
            <w:tcW w:type="dxa" w:w="3360"/>
            <w:vAlign w:val="center"/>
          </w:tcPr>
          <w:p>
            <w:pPr>
              <w:spacing w:after="0"/>
            </w:pPr>
            <w:r/>
            <w:r>
              <w:rPr>
                <w:b w:val="0"/>
                <w:sz w:val="18"/>
              </w:rPr>
              <w:t>Target value displayed</w:t>
            </w:r>
          </w:p>
        </w:tc>
      </w:tr>
      <w:tr>
        <w:tc>
          <w:tcPr>
            <w:tcW w:type="dxa" w:w="3360"/>
            <w:vAlign w:val="center"/>
          </w:tcPr>
          <w:p>
            <w:pPr>
              <w:spacing w:after="0"/>
            </w:pPr>
            <w:r/>
            <w:r>
              <w:rPr>
                <w:b w:val="0"/>
                <w:sz w:val="18"/>
              </w:rPr>
              <w:t>Total Inventory Sales</w:t>
            </w:r>
          </w:p>
        </w:tc>
        <w:tc>
          <w:tcPr>
            <w:tcW w:type="dxa" w:w="3360"/>
            <w:vAlign w:val="center"/>
          </w:tcPr>
          <w:p>
            <w:pPr>
              <w:spacing w:after="0"/>
            </w:pPr>
            <w:r/>
            <w:r>
              <w:rPr>
                <w:b w:val="0"/>
                <w:sz w:val="18"/>
              </w:rPr>
              <w:t>₹57.32M</w:t>
            </w:r>
          </w:p>
        </w:tc>
        <w:tc>
          <w:tcPr>
            <w:tcW w:type="dxa" w:w="3360"/>
            <w:vAlign w:val="center"/>
          </w:tcPr>
          <w:p>
            <w:pPr>
              <w:spacing w:after="0"/>
            </w:pPr>
            <w:r/>
            <w:r>
              <w:rPr>
                <w:b w:val="0"/>
                <w:sz w:val="18"/>
              </w:rPr>
              <w:t>Inventory sales displayed</w:t>
            </w:r>
          </w:p>
        </w:tc>
      </w:tr>
      <w:tr>
        <w:tc>
          <w:tcPr>
            <w:tcW w:type="dxa" w:w="3360"/>
            <w:vAlign w:val="center"/>
          </w:tcPr>
          <w:p>
            <w:pPr>
              <w:spacing w:after="0"/>
            </w:pPr>
            <w:r/>
            <w:r>
              <w:rPr>
                <w:b w:val="0"/>
                <w:sz w:val="18"/>
              </w:rPr>
              <w:t>Total Lab Tests</w:t>
            </w:r>
          </w:p>
        </w:tc>
        <w:tc>
          <w:tcPr>
            <w:tcW w:type="dxa" w:w="3360"/>
            <w:vAlign w:val="center"/>
          </w:tcPr>
          <w:p>
            <w:pPr>
              <w:spacing w:after="0"/>
            </w:pPr>
            <w:r/>
            <w:r>
              <w:rPr>
                <w:b w:val="0"/>
                <w:sz w:val="18"/>
              </w:rPr>
              <w:t>10K</w:t>
            </w:r>
          </w:p>
        </w:tc>
        <w:tc>
          <w:tcPr>
            <w:tcW w:type="dxa" w:w="3360"/>
            <w:vAlign w:val="center"/>
          </w:tcPr>
          <w:p>
            <w:pPr>
              <w:spacing w:after="0"/>
            </w:pPr>
            <w:r/>
            <w:r>
              <w:rPr>
                <w:b w:val="0"/>
                <w:sz w:val="18"/>
              </w:rPr>
              <w:t>Laboratory activity represented</w:t>
            </w:r>
          </w:p>
        </w:tc>
      </w:tr>
      <w:tr>
        <w:tc>
          <w:tcPr>
            <w:tcW w:type="dxa" w:w="3360"/>
            <w:vAlign w:val="center"/>
          </w:tcPr>
          <w:p>
            <w:pPr>
              <w:spacing w:after="0"/>
            </w:pPr>
            <w:r/>
            <w:r>
              <w:rPr>
                <w:b w:val="0"/>
                <w:sz w:val="18"/>
              </w:rPr>
              <w:t>Total Inventory Records</w:t>
            </w:r>
          </w:p>
        </w:tc>
        <w:tc>
          <w:tcPr>
            <w:tcW w:type="dxa" w:w="3360"/>
            <w:vAlign w:val="center"/>
          </w:tcPr>
          <w:p>
            <w:pPr>
              <w:spacing w:after="0"/>
            </w:pPr>
            <w:r/>
            <w:r>
              <w:rPr>
                <w:b w:val="0"/>
                <w:sz w:val="18"/>
              </w:rPr>
              <w:t>10K</w:t>
            </w:r>
          </w:p>
        </w:tc>
        <w:tc>
          <w:tcPr>
            <w:tcW w:type="dxa" w:w="3360"/>
            <w:vAlign w:val="center"/>
          </w:tcPr>
          <w:p>
            <w:pPr>
              <w:spacing w:after="0"/>
            </w:pPr>
            <w:r/>
            <w:r>
              <w:rPr>
                <w:b w:val="0"/>
                <w:sz w:val="18"/>
              </w:rPr>
              <w:t>Inventory transaction records represented</w:t>
            </w:r>
          </w:p>
        </w:tc>
      </w:tr>
      <w:tr>
        <w:tc>
          <w:tcPr>
            <w:tcW w:type="dxa" w:w="3360"/>
            <w:vAlign w:val="center"/>
          </w:tcPr>
          <w:p>
            <w:pPr>
              <w:spacing w:after="0"/>
            </w:pPr>
            <w:r/>
            <w:r>
              <w:rPr>
                <w:b w:val="0"/>
                <w:sz w:val="18"/>
              </w:rPr>
              <w:t>Total Inventory Quantity</w:t>
            </w:r>
          </w:p>
        </w:tc>
        <w:tc>
          <w:tcPr>
            <w:tcW w:type="dxa" w:w="3360"/>
            <w:vAlign w:val="center"/>
          </w:tcPr>
          <w:p>
            <w:pPr>
              <w:spacing w:after="0"/>
            </w:pPr>
            <w:r/>
            <w:r>
              <w:rPr>
                <w:b w:val="0"/>
                <w:sz w:val="18"/>
              </w:rPr>
              <w:t>550K</w:t>
            </w:r>
          </w:p>
        </w:tc>
        <w:tc>
          <w:tcPr>
            <w:tcW w:type="dxa" w:w="3360"/>
            <w:vAlign w:val="center"/>
          </w:tcPr>
          <w:p>
            <w:pPr>
              <w:spacing w:after="0"/>
            </w:pPr>
            <w:r/>
            <w:r>
              <w:rPr>
                <w:b w:val="0"/>
                <w:sz w:val="18"/>
              </w:rPr>
              <w:t>Quantity represented in inventory transactions</w:t>
            </w:r>
          </w:p>
        </w:tc>
      </w:tr>
    </w:tbl>
    <w:p>
      <w:pPr>
        <w:spacing w:after="20"/>
      </w:pPr>
    </w:p>
    <w:p>
      <w:pPr>
        <w:spacing w:after="120"/>
      </w:pPr>
      <w:r>
        <w:t>These figures are dashboard-displayed values from the supplied Power BI PDF. They are reported as presentation KPIs rather than independently recalculated in this case study.</w:t>
      </w:r>
    </w:p>
    <w:p>
      <w:pPr>
        <w:pStyle w:val="Heading1"/>
      </w:pPr>
      <w:r>
        <w:t>7. Page 1 — Pharmacy &amp; Hospital Executive Overview</w:t>
      </w:r>
    </w:p>
    <w:p>
      <w:pPr>
        <w:spacing w:after="120"/>
      </w:pPr>
      <w:r>
        <w:t>The Executive Overview acts as the management entry point. It combines hospital activity, pharmacy demand, patient demographics, revenue and profit into one page.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Visual / Metric</w:t>
            </w:r>
          </w:p>
        </w:tc>
        <w:tc>
          <w:tcPr>
            <w:tcW w:type="dxa" w:w="5040"/>
            <w:vAlign w:val="center"/>
            <w:shd w:fill="D9EAF7"/>
          </w:tcPr>
          <w:p>
            <w:pPr>
              <w:spacing w:after="0"/>
            </w:pPr>
            <w:r/>
            <w:r>
              <w:rPr>
                <w:b/>
                <w:sz w:val="19"/>
              </w:rPr>
              <w:t>Analytical Role</w:t>
            </w:r>
          </w:p>
        </w:tc>
      </w:tr>
      <w:tr>
        <w:tc>
          <w:tcPr>
            <w:tcW w:type="dxa" w:w="5040"/>
            <w:vAlign w:val="center"/>
          </w:tcPr>
          <w:p>
            <w:pPr>
              <w:spacing w:after="0"/>
            </w:pPr>
            <w:r/>
            <w:r>
              <w:rPr>
                <w:b w:val="0"/>
                <w:sz w:val="18"/>
              </w:rPr>
              <w:t>Monthly Healthcare Activity</w:t>
            </w:r>
          </w:p>
        </w:tc>
        <w:tc>
          <w:tcPr>
            <w:tcW w:type="dxa" w:w="5040"/>
            <w:vAlign w:val="center"/>
          </w:tcPr>
          <w:p>
            <w:pPr>
              <w:spacing w:after="0"/>
            </w:pPr>
            <w:r/>
            <w:r>
              <w:rPr>
                <w:b w:val="0"/>
                <w:sz w:val="18"/>
              </w:rPr>
              <w:t>Shows the movement of admissions, appointments and prescriptions over time.</w:t>
            </w:r>
          </w:p>
        </w:tc>
      </w:tr>
      <w:tr>
        <w:tc>
          <w:tcPr>
            <w:tcW w:type="dxa" w:w="5040"/>
            <w:vAlign w:val="center"/>
          </w:tcPr>
          <w:p>
            <w:pPr>
              <w:spacing w:after="0"/>
            </w:pPr>
            <w:r/>
            <w:r>
              <w:rPr>
                <w:b w:val="0"/>
                <w:sz w:val="18"/>
              </w:rPr>
              <w:t>Top Hospitals by Revenue</w:t>
            </w:r>
          </w:p>
        </w:tc>
        <w:tc>
          <w:tcPr>
            <w:tcW w:type="dxa" w:w="5040"/>
            <w:vAlign w:val="center"/>
          </w:tcPr>
          <w:p>
            <w:pPr>
              <w:spacing w:after="0"/>
            </w:pPr>
            <w:r/>
            <w:r>
              <w:rPr>
                <w:b w:val="0"/>
                <w:sz w:val="18"/>
              </w:rPr>
              <w:t>Compares revenue contribution across hospitals/cities.</w:t>
            </w:r>
          </w:p>
        </w:tc>
      </w:tr>
      <w:tr>
        <w:tc>
          <w:tcPr>
            <w:tcW w:type="dxa" w:w="5040"/>
            <w:vAlign w:val="center"/>
          </w:tcPr>
          <w:p>
            <w:pPr>
              <w:spacing w:after="0"/>
            </w:pPr>
            <w:r/>
            <w:r>
              <w:rPr>
                <w:b w:val="0"/>
                <w:sz w:val="18"/>
              </w:rPr>
              <w:t>Medicine Category Demand</w:t>
            </w:r>
          </w:p>
        </w:tc>
        <w:tc>
          <w:tcPr>
            <w:tcW w:type="dxa" w:w="5040"/>
            <w:vAlign w:val="center"/>
          </w:tcPr>
          <w:p>
            <w:pPr>
              <w:spacing w:after="0"/>
            </w:pPr>
            <w:r/>
            <w:r>
              <w:rPr>
                <w:b w:val="0"/>
                <w:sz w:val="18"/>
              </w:rPr>
              <w:t>Shows relative medicine demand across Analgesic, Antibiotic, Cardiac, Diabetes, Gastro, Respiratory and Vitamin categories.</w:t>
            </w:r>
          </w:p>
        </w:tc>
      </w:tr>
      <w:tr>
        <w:tc>
          <w:tcPr>
            <w:tcW w:type="dxa" w:w="5040"/>
            <w:vAlign w:val="center"/>
          </w:tcPr>
          <w:p>
            <w:pPr>
              <w:spacing w:after="0"/>
            </w:pPr>
            <w:r/>
            <w:r>
              <w:rPr>
                <w:b w:val="0"/>
                <w:sz w:val="18"/>
              </w:rPr>
              <w:t>Patient Demographics</w:t>
            </w:r>
          </w:p>
        </w:tc>
        <w:tc>
          <w:tcPr>
            <w:tcW w:type="dxa" w:w="5040"/>
            <w:vAlign w:val="center"/>
          </w:tcPr>
          <w:p>
            <w:pPr>
              <w:spacing w:after="0"/>
            </w:pPr>
            <w:r/>
            <w:r>
              <w:rPr>
                <w:b w:val="0"/>
                <w:sz w:val="18"/>
              </w:rPr>
              <w:t>Provides gender-level population context.</w:t>
            </w:r>
          </w:p>
        </w:tc>
      </w:tr>
      <w:tr>
        <w:tc>
          <w:tcPr>
            <w:tcW w:type="dxa" w:w="5040"/>
            <w:vAlign w:val="center"/>
          </w:tcPr>
          <w:p>
            <w:pPr>
              <w:spacing w:after="0"/>
            </w:pPr>
            <w:r/>
            <w:r>
              <w:rPr>
                <w:b w:val="0"/>
                <w:sz w:val="18"/>
              </w:rPr>
              <w:t>Executive KPIs</w:t>
            </w:r>
          </w:p>
        </w:tc>
        <w:tc>
          <w:tcPr>
            <w:tcW w:type="dxa" w:w="5040"/>
            <w:vAlign w:val="center"/>
          </w:tcPr>
          <w:p>
            <w:pPr>
              <w:spacing w:after="0"/>
            </w:pPr>
            <w:r/>
            <w:r>
              <w:rPr>
                <w:b w:val="0"/>
                <w:sz w:val="18"/>
              </w:rPr>
              <w:t>Displays patients, admissions, net revenue, profit and prescriptions.</w:t>
            </w:r>
          </w:p>
        </w:tc>
      </w:tr>
    </w:tbl>
    <w:p>
      <w:pPr>
        <w:spacing w:after="20"/>
      </w:pPr>
    </w:p>
    <w:p>
      <w:pPr>
        <w:spacing w:after="120"/>
      </w:pPr>
      <w:r>
        <w:t>The page provides a cross-functional starting point: patient and hospital activity can be viewed alongside pharmacy demand and financial outcomes rather than being reported in separate dashboards.</w:t>
      </w:r>
    </w:p>
    <w:p>
      <w:pPr>
        <w:pStyle w:val="Heading1"/>
      </w:pPr>
      <w:r>
        <w:t>8. Page 2 — Pharmacy &amp; Medicine Analytics</w:t>
      </w:r>
    </w:p>
    <w:p>
      <w:pPr>
        <w:spacing w:after="120"/>
      </w:pPr>
      <w:r>
        <w:t>This page focuses on the commercial and operational performance of the pharmacy function.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Analysis</w:t>
            </w:r>
          </w:p>
        </w:tc>
        <w:tc>
          <w:tcPr>
            <w:tcW w:type="dxa" w:w="5040"/>
            <w:vAlign w:val="center"/>
            <w:shd w:fill="D9EAF7"/>
          </w:tcPr>
          <w:p>
            <w:pPr>
              <w:spacing w:after="0"/>
            </w:pPr>
            <w:r/>
            <w:r>
              <w:rPr>
                <w:b/>
                <w:sz w:val="19"/>
              </w:rPr>
              <w:t>Dashboard Finding</w:t>
            </w:r>
          </w:p>
        </w:tc>
      </w:tr>
      <w:tr>
        <w:tc>
          <w:tcPr>
            <w:tcW w:type="dxa" w:w="5040"/>
            <w:vAlign w:val="center"/>
          </w:tcPr>
          <w:p>
            <w:pPr>
              <w:spacing w:after="0"/>
            </w:pPr>
            <w:r/>
            <w:r>
              <w:rPr>
                <w:b w:val="0"/>
                <w:sz w:val="18"/>
              </w:rPr>
              <w:t>Medicine sales by category</w:t>
            </w:r>
          </w:p>
        </w:tc>
        <w:tc>
          <w:tcPr>
            <w:tcW w:type="dxa" w:w="5040"/>
            <w:vAlign w:val="center"/>
          </w:tcPr>
          <w:p>
            <w:pPr>
              <w:spacing w:after="0"/>
            </w:pPr>
            <w:r/>
            <w:r>
              <w:rPr>
                <w:b w:val="0"/>
                <w:sz w:val="18"/>
              </w:rPr>
              <w:t>Cardiac is displayed at approximately ₹8.99M, followed by Antibiotic ₹8.47M, Vitamin ₹8.15M, Respiratory ₹8.12M, Diabetes ₹8.08M, Gastro ₹7.88M and Analgesic ₹7.63M.</w:t>
            </w:r>
          </w:p>
        </w:tc>
      </w:tr>
      <w:tr>
        <w:tc>
          <w:tcPr>
            <w:tcW w:type="dxa" w:w="5040"/>
            <w:vAlign w:val="center"/>
          </w:tcPr>
          <w:p>
            <w:pPr>
              <w:spacing w:after="0"/>
            </w:pPr>
            <w:r/>
            <w:r>
              <w:rPr>
                <w:b w:val="0"/>
                <w:sz w:val="18"/>
              </w:rPr>
              <w:t>Top medicines by sales</w:t>
            </w:r>
          </w:p>
        </w:tc>
        <w:tc>
          <w:tcPr>
            <w:tcW w:type="dxa" w:w="5040"/>
            <w:vAlign w:val="center"/>
          </w:tcPr>
          <w:p>
            <w:pPr>
              <w:spacing w:after="0"/>
            </w:pPr>
            <w:r/>
            <w:r>
              <w:rPr>
                <w:b w:val="0"/>
                <w:sz w:val="18"/>
              </w:rPr>
              <w:t>Top-10 medicine comparison is provided for identifying high-value medicine products.</w:t>
            </w:r>
          </w:p>
        </w:tc>
      </w:tr>
      <w:tr>
        <w:tc>
          <w:tcPr>
            <w:tcW w:type="dxa" w:w="5040"/>
            <w:vAlign w:val="center"/>
          </w:tcPr>
          <w:p>
            <w:pPr>
              <w:spacing w:after="0"/>
            </w:pPr>
            <w:r/>
            <w:r>
              <w:rPr>
                <w:b w:val="0"/>
                <w:sz w:val="18"/>
              </w:rPr>
              <w:t>Prescriptions by doctor</w:t>
            </w:r>
          </w:p>
        </w:tc>
        <w:tc>
          <w:tcPr>
            <w:tcW w:type="dxa" w:w="5040"/>
            <w:vAlign w:val="center"/>
          </w:tcPr>
          <w:p>
            <w:pPr>
              <w:spacing w:after="0"/>
            </w:pPr>
            <w:r/>
            <w:r>
              <w:rPr>
                <w:b w:val="0"/>
                <w:sz w:val="18"/>
              </w:rPr>
              <w:t>Top-10 doctors are compared by prescription activity.</w:t>
            </w:r>
          </w:p>
        </w:tc>
      </w:tr>
      <w:tr>
        <w:tc>
          <w:tcPr>
            <w:tcW w:type="dxa" w:w="5040"/>
            <w:vAlign w:val="center"/>
          </w:tcPr>
          <w:p>
            <w:pPr>
              <w:spacing w:after="0"/>
            </w:pPr>
            <w:r/>
            <w:r>
              <w:rPr>
                <w:b w:val="0"/>
                <w:sz w:val="18"/>
              </w:rPr>
              <w:t>Monthly medicine sales</w:t>
            </w:r>
          </w:p>
        </w:tc>
        <w:tc>
          <w:tcPr>
            <w:tcW w:type="dxa" w:w="5040"/>
            <w:vAlign w:val="center"/>
          </w:tcPr>
          <w:p>
            <w:pPr>
              <w:spacing w:after="0"/>
            </w:pPr>
            <w:r/>
            <w:r>
              <w:rPr>
                <w:b w:val="0"/>
                <w:sz w:val="18"/>
              </w:rPr>
              <w:t>Trend visual supports time-based monitoring of pharmacy sales.</w:t>
            </w:r>
          </w:p>
        </w:tc>
      </w:tr>
      <w:tr>
        <w:tc>
          <w:tcPr>
            <w:tcW w:type="dxa" w:w="5040"/>
            <w:vAlign w:val="center"/>
          </w:tcPr>
          <w:p>
            <w:pPr>
              <w:spacing w:after="0"/>
            </w:pPr>
            <w:r/>
            <w:r>
              <w:rPr>
                <w:b w:val="0"/>
                <w:sz w:val="18"/>
              </w:rPr>
              <w:t>Sales by medicine type</w:t>
            </w:r>
          </w:p>
        </w:tc>
        <w:tc>
          <w:tcPr>
            <w:tcW w:type="dxa" w:w="5040"/>
            <w:vAlign w:val="center"/>
          </w:tcPr>
          <w:p>
            <w:pPr>
              <w:spacing w:after="0"/>
            </w:pPr>
            <w:r/>
            <w:r>
              <w:rPr>
                <w:b w:val="0"/>
                <w:sz w:val="18"/>
              </w:rPr>
              <w:t>Category-level commercial mix is shown.</w:t>
            </w:r>
          </w:p>
        </w:tc>
      </w:tr>
      <w:tr>
        <w:tc>
          <w:tcPr>
            <w:tcW w:type="dxa" w:w="5040"/>
            <w:vAlign w:val="center"/>
          </w:tcPr>
          <w:p>
            <w:pPr>
              <w:spacing w:after="0"/>
            </w:pPr>
            <w:r/>
            <w:r>
              <w:rPr>
                <w:b w:val="0"/>
                <w:sz w:val="18"/>
              </w:rPr>
              <w:t>Profit by category</w:t>
            </w:r>
          </w:p>
        </w:tc>
        <w:tc>
          <w:tcPr>
            <w:tcW w:type="dxa" w:w="5040"/>
            <w:vAlign w:val="center"/>
          </w:tcPr>
          <w:p>
            <w:pPr>
              <w:spacing w:after="0"/>
            </w:pPr>
            <w:r/>
            <w:r>
              <w:rPr>
                <w:b w:val="0"/>
                <w:sz w:val="18"/>
              </w:rPr>
              <w:t>Cardiac is displayed at about ₹2.95M, followed by Vitamin ₹2.89M and other categories.</w:t>
            </w:r>
          </w:p>
        </w:tc>
      </w:tr>
      <w:tr>
        <w:tc>
          <w:tcPr>
            <w:tcW w:type="dxa" w:w="5040"/>
            <w:vAlign w:val="center"/>
          </w:tcPr>
          <w:p>
            <w:pPr>
              <w:spacing w:after="0"/>
            </w:pPr>
            <w:r/>
            <w:r>
              <w:rPr>
                <w:b w:val="0"/>
                <w:sz w:val="18"/>
              </w:rPr>
              <w:t>Page KPIs</w:t>
            </w:r>
          </w:p>
        </w:tc>
        <w:tc>
          <w:tcPr>
            <w:tcW w:type="dxa" w:w="5040"/>
            <w:vAlign w:val="center"/>
          </w:tcPr>
          <w:p>
            <w:pPr>
              <w:spacing w:after="0"/>
            </w:pPr>
            <w:r/>
            <w:r>
              <w:rPr>
                <w:b w:val="0"/>
                <w:sz w:val="18"/>
              </w:rPr>
              <w:t>2K medicines, 10K prescriptions, ₹57.32M total sales and ₹8.01M medicine profit.</w:t>
            </w:r>
          </w:p>
        </w:tc>
      </w:tr>
    </w:tbl>
    <w:p>
      <w:pPr>
        <w:spacing w:after="20"/>
      </w:pPr>
    </w:p>
    <w:p>
      <w:pPr>
        <w:spacing w:after="120"/>
      </w:pPr>
      <w:r>
        <w:t>The page can support pharmacy management in identifying high-contribution categories, high-performing medicines and prescription patterns. It also creates a bridge between demand-side activity (prescriptions) and financial-side activity (sales and profit).</w:t>
      </w:r>
    </w:p>
    <w:p>
      <w:pPr>
        <w:pStyle w:val="Heading1"/>
      </w:pPr>
      <w:r>
        <w:t>9. Page 3 — Hospital &amp; Patient Analytics</w:t>
      </w:r>
    </w:p>
    <w:p>
      <w:pPr>
        <w:spacing w:after="120"/>
      </w:pPr>
      <w:r>
        <w:t>This page focuses on patient movement and hospital activity, using admissions, appointments and length of stay as core operational indicators.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Analysis</w:t>
            </w:r>
          </w:p>
        </w:tc>
        <w:tc>
          <w:tcPr>
            <w:tcW w:type="dxa" w:w="5040"/>
            <w:vAlign w:val="center"/>
            <w:shd w:fill="D9EAF7"/>
          </w:tcPr>
          <w:p>
            <w:pPr>
              <w:spacing w:after="0"/>
            </w:pPr>
            <w:r/>
            <w:r>
              <w:rPr>
                <w:b/>
                <w:sz w:val="19"/>
              </w:rPr>
              <w:t>Dashboard Finding</w:t>
            </w:r>
          </w:p>
        </w:tc>
      </w:tr>
      <w:tr>
        <w:tc>
          <w:tcPr>
            <w:tcW w:type="dxa" w:w="5040"/>
            <w:vAlign w:val="center"/>
          </w:tcPr>
          <w:p>
            <w:pPr>
              <w:spacing w:after="0"/>
            </w:pPr>
            <w:r/>
            <w:r>
              <w:rPr>
                <w:b w:val="0"/>
                <w:sz w:val="18"/>
              </w:rPr>
              <w:t>Admissions by department</w:t>
            </w:r>
          </w:p>
        </w:tc>
        <w:tc>
          <w:tcPr>
            <w:tcW w:type="dxa" w:w="5040"/>
            <w:vAlign w:val="center"/>
          </w:tcPr>
          <w:p>
            <w:pPr>
              <w:spacing w:after="0"/>
            </w:pPr>
            <w:r/>
            <w:r>
              <w:rPr>
                <w:b w:val="0"/>
                <w:sz w:val="18"/>
              </w:rPr>
              <w:t>Department-level admission volumes are compared.</w:t>
            </w:r>
          </w:p>
        </w:tc>
      </w:tr>
      <w:tr>
        <w:tc>
          <w:tcPr>
            <w:tcW w:type="dxa" w:w="5040"/>
            <w:vAlign w:val="center"/>
          </w:tcPr>
          <w:p>
            <w:pPr>
              <w:spacing w:after="0"/>
            </w:pPr>
            <w:r/>
            <w:r>
              <w:rPr>
                <w:b w:val="0"/>
                <w:sz w:val="18"/>
              </w:rPr>
              <w:t>Admissions by hospital</w:t>
            </w:r>
          </w:p>
        </w:tc>
        <w:tc>
          <w:tcPr>
            <w:tcW w:type="dxa" w:w="5040"/>
            <w:vAlign w:val="center"/>
          </w:tcPr>
          <w:p>
            <w:pPr>
              <w:spacing w:after="0"/>
            </w:pPr>
            <w:r/>
            <w:r>
              <w:rPr>
                <w:b w:val="0"/>
                <w:sz w:val="18"/>
              </w:rPr>
              <w:t>Hospital-level activity is compared.</w:t>
            </w:r>
          </w:p>
        </w:tc>
      </w:tr>
      <w:tr>
        <w:tc>
          <w:tcPr>
            <w:tcW w:type="dxa" w:w="5040"/>
            <w:vAlign w:val="center"/>
          </w:tcPr>
          <w:p>
            <w:pPr>
              <w:spacing w:after="0"/>
            </w:pPr>
            <w:r/>
            <w:r>
              <w:rPr>
                <w:b w:val="0"/>
                <w:sz w:val="18"/>
              </w:rPr>
              <w:t>Monthly admissions trend</w:t>
            </w:r>
          </w:p>
        </w:tc>
        <w:tc>
          <w:tcPr>
            <w:tcW w:type="dxa" w:w="5040"/>
            <w:vAlign w:val="center"/>
          </w:tcPr>
          <w:p>
            <w:pPr>
              <w:spacing w:after="0"/>
            </w:pPr>
            <w:r/>
            <w:r>
              <w:rPr>
                <w:b w:val="0"/>
                <w:sz w:val="18"/>
              </w:rPr>
              <w:t>Monthly admission movement is displayed across the year.</w:t>
            </w:r>
          </w:p>
        </w:tc>
      </w:tr>
      <w:tr>
        <w:tc>
          <w:tcPr>
            <w:tcW w:type="dxa" w:w="5040"/>
            <w:vAlign w:val="center"/>
          </w:tcPr>
          <w:p>
            <w:pPr>
              <w:spacing w:after="0"/>
            </w:pPr>
            <w:r/>
            <w:r>
              <w:rPr>
                <w:b w:val="0"/>
                <w:sz w:val="18"/>
              </w:rPr>
              <w:t>Average length of stay</w:t>
            </w:r>
          </w:p>
        </w:tc>
        <w:tc>
          <w:tcPr>
            <w:tcW w:type="dxa" w:w="5040"/>
            <w:vAlign w:val="center"/>
          </w:tcPr>
          <w:p>
            <w:pPr>
              <w:spacing w:after="0"/>
            </w:pPr>
            <w:r/>
            <w:r>
              <w:rPr>
                <w:b w:val="0"/>
                <w:sz w:val="18"/>
              </w:rPr>
              <w:t>Department-level stay duration is compared.</w:t>
            </w:r>
          </w:p>
        </w:tc>
      </w:tr>
      <w:tr>
        <w:tc>
          <w:tcPr>
            <w:tcW w:type="dxa" w:w="5040"/>
            <w:vAlign w:val="center"/>
          </w:tcPr>
          <w:p>
            <w:pPr>
              <w:spacing w:after="0"/>
            </w:pPr>
            <w:r/>
            <w:r>
              <w:rPr>
                <w:b w:val="0"/>
                <w:sz w:val="18"/>
              </w:rPr>
              <w:t>Page KPIs</w:t>
            </w:r>
          </w:p>
        </w:tc>
        <w:tc>
          <w:tcPr>
            <w:tcW w:type="dxa" w:w="5040"/>
            <w:vAlign w:val="center"/>
          </w:tcPr>
          <w:p>
            <w:pPr>
              <w:spacing w:after="0"/>
            </w:pPr>
            <w:r/>
            <w:r>
              <w:rPr>
                <w:b w:val="0"/>
                <w:sz w:val="18"/>
              </w:rPr>
              <w:t>50K patients, 3.866K admissions, 10K appointments and 8.01 average length of stay are displayed.</w:t>
            </w:r>
          </w:p>
        </w:tc>
      </w:tr>
    </w:tbl>
    <w:p>
      <w:pPr>
        <w:spacing w:after="20"/>
      </w:pPr>
    </w:p>
    <w:p>
      <w:pPr>
        <w:spacing w:after="120"/>
      </w:pPr>
      <w:r>
        <w:t>The underlying SQL model supports hospital-level patient volume, admissions, bed-capacity performance, monthly admission trends, admission type/status, diagnosis volume and average length of stay. fileciteturn2file2L197-L359</w:t>
      </w:r>
    </w:p>
    <w:p>
      <w:pPr>
        <w:spacing w:after="120"/>
      </w:pPr>
      <w:r>
        <w:t>This makes the hospital page useful for understanding workload distribution and identifying departments or hospitals that warrant further operational investigation.</w:t>
      </w:r>
    </w:p>
    <w:p>
      <w:pPr>
        <w:pStyle w:val="Heading1"/>
      </w:pPr>
      <w:r>
        <w:t>10. Page 4 — Financial &amp; Billing Analytics</w:t>
      </w:r>
    </w:p>
    <w:p>
      <w:pPr>
        <w:spacing w:after="120"/>
      </w:pPr>
      <w:r>
        <w:t>The Financial &amp; Billing page provides the financial control layer of the dashboard. It compares payment-mode profitability, billing trends, service-type sales, payment status and actual sales against targets.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Analysis</w:t>
            </w:r>
          </w:p>
        </w:tc>
        <w:tc>
          <w:tcPr>
            <w:tcW w:type="dxa" w:w="5040"/>
            <w:vAlign w:val="center"/>
            <w:shd w:fill="D9EAF7"/>
          </w:tcPr>
          <w:p>
            <w:pPr>
              <w:spacing w:after="0"/>
            </w:pPr>
            <w:r/>
            <w:r>
              <w:rPr>
                <w:b/>
                <w:sz w:val="19"/>
              </w:rPr>
              <w:t>Dashboard Finding</w:t>
            </w:r>
          </w:p>
        </w:tc>
      </w:tr>
      <w:tr>
        <w:tc>
          <w:tcPr>
            <w:tcW w:type="dxa" w:w="5040"/>
            <w:vAlign w:val="center"/>
          </w:tcPr>
          <w:p>
            <w:pPr>
              <w:spacing w:after="0"/>
            </w:pPr>
            <w:r/>
            <w:r>
              <w:rPr>
                <w:b w:val="0"/>
                <w:sz w:val="18"/>
              </w:rPr>
              <w:t>Profit by payment mode</w:t>
            </w:r>
          </w:p>
        </w:tc>
        <w:tc>
          <w:tcPr>
            <w:tcW w:type="dxa" w:w="5040"/>
            <w:vAlign w:val="center"/>
          </w:tcPr>
          <w:p>
            <w:pPr>
              <w:spacing w:after="0"/>
            </w:pPr>
            <w:r/>
            <w:r>
              <w:rPr>
                <w:b w:val="0"/>
                <w:sz w:val="18"/>
              </w:rPr>
              <w:t>Cash ₹19.24M, Card ₹18.93M, Insurance ₹19.00M and UPI ₹18.70M are displayed.</w:t>
            </w:r>
          </w:p>
        </w:tc>
      </w:tr>
      <w:tr>
        <w:tc>
          <w:tcPr>
            <w:tcW w:type="dxa" w:w="5040"/>
            <w:vAlign w:val="center"/>
          </w:tcPr>
          <w:p>
            <w:pPr>
              <w:spacing w:after="0"/>
            </w:pPr>
            <w:r/>
            <w:r>
              <w:rPr>
                <w:b w:val="0"/>
                <w:sz w:val="18"/>
              </w:rPr>
              <w:t>Monthly billing trend</w:t>
            </w:r>
          </w:p>
        </w:tc>
        <w:tc>
          <w:tcPr>
            <w:tcW w:type="dxa" w:w="5040"/>
            <w:vAlign w:val="center"/>
          </w:tcPr>
          <w:p>
            <w:pPr>
              <w:spacing w:after="0"/>
            </w:pPr>
            <w:r/>
            <w:r>
              <w:rPr>
                <w:b w:val="0"/>
                <w:sz w:val="18"/>
              </w:rPr>
              <w:t>Billing movement is shown from 2024 through 2026.</w:t>
            </w:r>
          </w:p>
        </w:tc>
      </w:tr>
      <w:tr>
        <w:tc>
          <w:tcPr>
            <w:tcW w:type="dxa" w:w="5040"/>
            <w:vAlign w:val="center"/>
          </w:tcPr>
          <w:p>
            <w:pPr>
              <w:spacing w:after="0"/>
            </w:pPr>
            <w:r/>
            <w:r>
              <w:rPr>
                <w:b w:val="0"/>
                <w:sz w:val="18"/>
              </w:rPr>
              <w:t>Sales by service type</w:t>
            </w:r>
          </w:p>
        </w:tc>
        <w:tc>
          <w:tcPr>
            <w:tcW w:type="dxa" w:w="5040"/>
            <w:vAlign w:val="center"/>
          </w:tcPr>
          <w:p>
            <w:pPr>
              <w:spacing w:after="0"/>
            </w:pPr>
            <w:r/>
            <w:r>
              <w:rPr>
                <w:b w:val="0"/>
                <w:sz w:val="18"/>
              </w:rPr>
              <w:t>Procedure, Consultation, Lab, Room and Pharmacy are compared.</w:t>
            </w:r>
          </w:p>
        </w:tc>
      </w:tr>
      <w:tr>
        <w:tc>
          <w:tcPr>
            <w:tcW w:type="dxa" w:w="5040"/>
            <w:vAlign w:val="center"/>
          </w:tcPr>
          <w:p>
            <w:pPr>
              <w:spacing w:after="0"/>
            </w:pPr>
            <w:r/>
            <w:r>
              <w:rPr>
                <w:b w:val="0"/>
                <w:sz w:val="18"/>
              </w:rPr>
              <w:t>Billing by payment status</w:t>
            </w:r>
          </w:p>
        </w:tc>
        <w:tc>
          <w:tcPr>
            <w:tcW w:type="dxa" w:w="5040"/>
            <w:vAlign w:val="center"/>
          </w:tcPr>
          <w:p>
            <w:pPr>
              <w:spacing w:after="0"/>
            </w:pPr>
            <w:r/>
            <w:r>
              <w:rPr>
                <w:b w:val="0"/>
                <w:sz w:val="18"/>
              </w:rPr>
              <w:t>Paid ₹56.68M (77.24%), Pending ₹11.39M (15.52%), Partial ₹5.31M (7.24%).</w:t>
            </w:r>
          </w:p>
        </w:tc>
      </w:tr>
      <w:tr>
        <w:tc>
          <w:tcPr>
            <w:tcW w:type="dxa" w:w="5040"/>
            <w:vAlign w:val="center"/>
          </w:tcPr>
          <w:p>
            <w:pPr>
              <w:spacing w:after="0"/>
            </w:pPr>
            <w:r/>
            <w:r>
              <w:rPr>
                <w:b w:val="0"/>
                <w:sz w:val="18"/>
              </w:rPr>
              <w:t>Sales vs target</w:t>
            </w:r>
          </w:p>
        </w:tc>
        <w:tc>
          <w:tcPr>
            <w:tcW w:type="dxa" w:w="5040"/>
            <w:vAlign w:val="center"/>
          </w:tcPr>
          <w:p>
            <w:pPr>
              <w:spacing w:after="0"/>
            </w:pPr>
            <w:r/>
            <w:r>
              <w:rPr>
                <w:b w:val="0"/>
                <w:sz w:val="18"/>
              </w:rPr>
              <w:t>Actual sales and target are compared across service types.</w:t>
            </w:r>
          </w:p>
        </w:tc>
      </w:tr>
      <w:tr>
        <w:tc>
          <w:tcPr>
            <w:tcW w:type="dxa" w:w="5040"/>
            <w:vAlign w:val="center"/>
          </w:tcPr>
          <w:p>
            <w:pPr>
              <w:spacing w:after="0"/>
            </w:pPr>
            <w:r/>
            <w:r>
              <w:rPr>
                <w:b w:val="0"/>
                <w:sz w:val="18"/>
              </w:rPr>
              <w:t>Page KPIs</w:t>
            </w:r>
          </w:p>
        </w:tc>
        <w:tc>
          <w:tcPr>
            <w:tcW w:type="dxa" w:w="5040"/>
            <w:vAlign w:val="center"/>
          </w:tcPr>
          <w:p>
            <w:pPr>
              <w:spacing w:after="0"/>
            </w:pPr>
            <w:r/>
            <w:r>
              <w:rPr>
                <w:b w:val="0"/>
                <w:sz w:val="18"/>
              </w:rPr>
              <w:t>Total Profit ₹14.12M, Total Sales ₹75.86M, Total Target ₹78.54M, Total Billing ₹73.38M.</w:t>
            </w:r>
          </w:p>
        </w:tc>
      </w:tr>
    </w:tbl>
    <w:p>
      <w:pPr>
        <w:spacing w:after="20"/>
      </w:pPr>
    </w:p>
    <w:p>
      <w:pPr>
        <w:spacing w:after="120"/>
      </w:pPr>
      <w:r>
        <w:t>The underlying billing structure supports analysis of sales, discounts, net sales, target and profit by hospital, department, service type, payment mode and payment status. fileciteturn2file2L104-L120</w:t>
      </w:r>
    </w:p>
    <w:tbl>
      <w:tblPr>
        <w:tblStyle w:val="TableGrid"/>
        <w:tblW w:type="auto" w:w="0"/>
        <w:tblLook w:firstColumn="1" w:firstRow="1" w:lastColumn="0" w:lastRow="0" w:noHBand="0" w:noVBand="1" w:val="04A0"/>
      </w:tblPr>
      <w:tblGrid>
        <w:gridCol w:w="10080"/>
      </w:tblGrid>
      <w:tr>
        <w:tc>
          <w:tcPr>
            <w:tcW w:type="dxa" w:w="10080"/>
            <w:shd w:fill="EEF5FA"/>
          </w:tcPr>
          <w:p>
            <w:r>
              <w:rPr>
                <w:b/>
                <w:sz w:val="21"/>
              </w:rPr>
              <w:t>Financial control insight</w:t>
              <w:br/>
            </w:r>
            <w:r>
              <w:rPr>
                <w:sz w:val="19"/>
              </w:rPr>
              <w:t>The sales-versus-target visual and payment-status breakdown allow management to distinguish between sales generation and cash/payment realization. This is more informative than looking at total sales alone.</w:t>
            </w:r>
          </w:p>
        </w:tc>
      </w:tr>
    </w:tbl>
    <w:p>
      <w:pPr>
        <w:spacing w:after="40"/>
      </w:pPr>
    </w:p>
    <w:p>
      <w:pPr>
        <w:pStyle w:val="Heading1"/>
      </w:pPr>
      <w:r>
        <w:t>11. Page 5 — Laboratory &amp; Inventory Analytics</w:t>
      </w:r>
    </w:p>
    <w:p>
      <w:pPr>
        <w:spacing w:after="120"/>
      </w:pPr>
      <w:r>
        <w:t>The Laboratory &amp; Inventory page combines diagnostic activity with medicine inventory performance, giving management visibility into both service demand and product movement.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Analysis</w:t>
            </w:r>
          </w:p>
        </w:tc>
        <w:tc>
          <w:tcPr>
            <w:tcW w:type="dxa" w:w="5040"/>
            <w:vAlign w:val="center"/>
            <w:shd w:fill="D9EAF7"/>
          </w:tcPr>
          <w:p>
            <w:pPr>
              <w:spacing w:after="0"/>
            </w:pPr>
            <w:r/>
            <w:r>
              <w:rPr>
                <w:b/>
                <w:sz w:val="19"/>
              </w:rPr>
              <w:t>Dashboard Finding</w:t>
            </w:r>
          </w:p>
        </w:tc>
      </w:tr>
      <w:tr>
        <w:tc>
          <w:tcPr>
            <w:tcW w:type="dxa" w:w="5040"/>
            <w:vAlign w:val="center"/>
          </w:tcPr>
          <w:p>
            <w:pPr>
              <w:spacing w:after="0"/>
            </w:pPr>
            <w:r/>
            <w:r>
              <w:rPr>
                <w:b w:val="0"/>
                <w:sz w:val="18"/>
              </w:rPr>
              <w:t>Lab test result status</w:t>
            </w:r>
          </w:p>
        </w:tc>
        <w:tc>
          <w:tcPr>
            <w:tcW w:type="dxa" w:w="5040"/>
            <w:vAlign w:val="center"/>
          </w:tcPr>
          <w:p>
            <w:pPr>
              <w:spacing w:after="0"/>
            </w:pPr>
            <w:r/>
            <w:r>
              <w:rPr>
                <w:b w:val="0"/>
                <w:sz w:val="18"/>
              </w:rPr>
              <w:t>Normal 5.52K (55.23%), Abnormal 2.98K (29.84%), Pending 1K (9.98%); Critical is also represented in the visual.</w:t>
            </w:r>
          </w:p>
        </w:tc>
      </w:tr>
      <w:tr>
        <w:tc>
          <w:tcPr>
            <w:tcW w:type="dxa" w:w="5040"/>
            <w:vAlign w:val="center"/>
          </w:tcPr>
          <w:p>
            <w:pPr>
              <w:spacing w:after="0"/>
            </w:pPr>
            <w:r/>
            <w:r>
              <w:rPr>
                <w:b w:val="0"/>
                <w:sz w:val="18"/>
              </w:rPr>
              <w:t>Lab tests by department</w:t>
            </w:r>
          </w:p>
        </w:tc>
        <w:tc>
          <w:tcPr>
            <w:tcW w:type="dxa" w:w="5040"/>
            <w:vAlign w:val="center"/>
          </w:tcPr>
          <w:p>
            <w:pPr>
              <w:spacing w:after="0"/>
            </w:pPr>
            <w:r/>
            <w:r>
              <w:rPr>
                <w:b w:val="0"/>
                <w:sz w:val="18"/>
              </w:rPr>
              <w:t>Department-level testing activity is compared.</w:t>
            </w:r>
          </w:p>
        </w:tc>
      </w:tr>
      <w:tr>
        <w:tc>
          <w:tcPr>
            <w:tcW w:type="dxa" w:w="5040"/>
            <w:vAlign w:val="center"/>
          </w:tcPr>
          <w:p>
            <w:pPr>
              <w:spacing w:after="0"/>
            </w:pPr>
            <w:r/>
            <w:r>
              <w:rPr>
                <w:b w:val="0"/>
                <w:sz w:val="18"/>
              </w:rPr>
              <w:t>Inventory sales by category</w:t>
            </w:r>
          </w:p>
        </w:tc>
        <w:tc>
          <w:tcPr>
            <w:tcW w:type="dxa" w:w="5040"/>
            <w:vAlign w:val="center"/>
          </w:tcPr>
          <w:p>
            <w:pPr>
              <w:spacing w:after="0"/>
            </w:pPr>
            <w:r/>
            <w:r>
              <w:rPr>
                <w:b w:val="0"/>
                <w:sz w:val="18"/>
              </w:rPr>
              <w:t>Medicine-category inventory sales are compared.</w:t>
            </w:r>
          </w:p>
        </w:tc>
      </w:tr>
      <w:tr>
        <w:tc>
          <w:tcPr>
            <w:tcW w:type="dxa" w:w="5040"/>
            <w:vAlign w:val="center"/>
          </w:tcPr>
          <w:p>
            <w:pPr>
              <w:spacing w:after="0"/>
            </w:pPr>
            <w:r/>
            <w:r>
              <w:rPr>
                <w:b w:val="0"/>
                <w:sz w:val="18"/>
              </w:rPr>
              <w:t>Inventory sales trend</w:t>
            </w:r>
          </w:p>
        </w:tc>
        <w:tc>
          <w:tcPr>
            <w:tcW w:type="dxa" w:w="5040"/>
            <w:vAlign w:val="center"/>
          </w:tcPr>
          <w:p>
            <w:pPr>
              <w:spacing w:after="0"/>
            </w:pPr>
            <w:r/>
            <w:r>
              <w:rPr>
                <w:b w:val="0"/>
                <w:sz w:val="18"/>
              </w:rPr>
              <w:t>Monthly inventory sales movement is shown from 2024 through 2026.</w:t>
            </w:r>
          </w:p>
        </w:tc>
      </w:tr>
      <w:tr>
        <w:tc>
          <w:tcPr>
            <w:tcW w:type="dxa" w:w="5040"/>
            <w:vAlign w:val="center"/>
          </w:tcPr>
          <w:p>
            <w:pPr>
              <w:spacing w:after="0"/>
            </w:pPr>
            <w:r/>
            <w:r>
              <w:rPr>
                <w:b w:val="0"/>
                <w:sz w:val="18"/>
              </w:rPr>
              <w:t>Top medicines by inventory sales</w:t>
            </w:r>
          </w:p>
        </w:tc>
        <w:tc>
          <w:tcPr>
            <w:tcW w:type="dxa" w:w="5040"/>
            <w:vAlign w:val="center"/>
          </w:tcPr>
          <w:p>
            <w:pPr>
              <w:spacing w:after="0"/>
            </w:pPr>
            <w:r/>
            <w:r>
              <w:rPr>
                <w:b w:val="0"/>
                <w:sz w:val="18"/>
              </w:rPr>
              <w:t>Top-10 medicines are compared by inventory sales.</w:t>
            </w:r>
          </w:p>
        </w:tc>
      </w:tr>
      <w:tr>
        <w:tc>
          <w:tcPr>
            <w:tcW w:type="dxa" w:w="5040"/>
            <w:vAlign w:val="center"/>
          </w:tcPr>
          <w:p>
            <w:pPr>
              <w:spacing w:after="0"/>
            </w:pPr>
            <w:r/>
            <w:r>
              <w:rPr>
                <w:b w:val="0"/>
                <w:sz w:val="18"/>
              </w:rPr>
              <w:t>Page KPIs</w:t>
            </w:r>
          </w:p>
        </w:tc>
        <w:tc>
          <w:tcPr>
            <w:tcW w:type="dxa" w:w="5040"/>
            <w:vAlign w:val="center"/>
          </w:tcPr>
          <w:p>
            <w:pPr>
              <w:spacing w:after="0"/>
            </w:pPr>
            <w:r/>
            <w:r>
              <w:rPr>
                <w:b w:val="0"/>
                <w:sz w:val="18"/>
              </w:rPr>
              <w:t>₹57.32M inventory sales, 10K lab tests, 10K inventory records and 550K inventory quantity.</w:t>
            </w:r>
          </w:p>
        </w:tc>
      </w:tr>
    </w:tbl>
    <w:p>
      <w:pPr>
        <w:spacing w:after="20"/>
      </w:pPr>
    </w:p>
    <w:p>
      <w:pPr>
        <w:spacing w:after="120"/>
      </w:pPr>
      <w:r>
        <w:t>The inventory model includes medicine, hospital, vendor, transaction date, transaction type, quantity, unit cost, selling price, purchase value and sales value, allowing inventory performance to be connected to commercial activity. fileciteturn2file2L155-L166</w:t>
      </w:r>
    </w:p>
    <w:p>
      <w:pPr>
        <w:pStyle w:val="Heading1"/>
      </w:pPr>
      <w:r>
        <w:t>12. Page 6 — Overall Performance &amp; Key Insights</w:t>
      </w:r>
    </w:p>
    <w:p>
      <w:pPr>
        <w:spacing w:after="120"/>
      </w:pPr>
      <w:r>
        <w:t>The final page provides a management-level performance summary. It compares sales and profit across years, tracks monthly sales, compares departmental profit and examines inventory sales by medicine category.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Analysis</w:t>
            </w:r>
          </w:p>
        </w:tc>
        <w:tc>
          <w:tcPr>
            <w:tcW w:type="dxa" w:w="5040"/>
            <w:vAlign w:val="center"/>
            <w:shd w:fill="D9EAF7"/>
          </w:tcPr>
          <w:p>
            <w:pPr>
              <w:spacing w:after="0"/>
            </w:pPr>
            <w:r/>
            <w:r>
              <w:rPr>
                <w:b/>
                <w:sz w:val="19"/>
              </w:rPr>
              <w:t>Purpose</w:t>
            </w:r>
          </w:p>
        </w:tc>
      </w:tr>
      <w:tr>
        <w:tc>
          <w:tcPr>
            <w:tcW w:type="dxa" w:w="5040"/>
            <w:vAlign w:val="center"/>
          </w:tcPr>
          <w:p>
            <w:pPr>
              <w:spacing w:after="0"/>
            </w:pPr>
            <w:r/>
            <w:r>
              <w:rPr>
                <w:b w:val="0"/>
                <w:sz w:val="18"/>
              </w:rPr>
              <w:t>Sales vs Profit by Year</w:t>
            </w:r>
          </w:p>
        </w:tc>
        <w:tc>
          <w:tcPr>
            <w:tcW w:type="dxa" w:w="5040"/>
            <w:vAlign w:val="center"/>
          </w:tcPr>
          <w:p>
            <w:pPr>
              <w:spacing w:after="0"/>
            </w:pPr>
            <w:r/>
            <w:r>
              <w:rPr>
                <w:b w:val="0"/>
                <w:sz w:val="18"/>
              </w:rPr>
              <w:t>Compare annual commercial performance.</w:t>
            </w:r>
          </w:p>
        </w:tc>
      </w:tr>
      <w:tr>
        <w:tc>
          <w:tcPr>
            <w:tcW w:type="dxa" w:w="5040"/>
            <w:vAlign w:val="center"/>
          </w:tcPr>
          <w:p>
            <w:pPr>
              <w:spacing w:after="0"/>
            </w:pPr>
            <w:r/>
            <w:r>
              <w:rPr>
                <w:b w:val="0"/>
                <w:sz w:val="18"/>
              </w:rPr>
              <w:t>Monthly Sales Trend</w:t>
            </w:r>
          </w:p>
        </w:tc>
        <w:tc>
          <w:tcPr>
            <w:tcW w:type="dxa" w:w="5040"/>
            <w:vAlign w:val="center"/>
          </w:tcPr>
          <w:p>
            <w:pPr>
              <w:spacing w:after="0"/>
            </w:pPr>
            <w:r/>
            <w:r>
              <w:rPr>
                <w:b w:val="0"/>
                <w:sz w:val="18"/>
              </w:rPr>
              <w:t>Identify changes and seasonality in sales activity.</w:t>
            </w:r>
          </w:p>
        </w:tc>
      </w:tr>
      <w:tr>
        <w:tc>
          <w:tcPr>
            <w:tcW w:type="dxa" w:w="5040"/>
            <w:vAlign w:val="center"/>
          </w:tcPr>
          <w:p>
            <w:pPr>
              <w:spacing w:after="0"/>
            </w:pPr>
            <w:r/>
            <w:r>
              <w:rPr>
                <w:b w:val="0"/>
                <w:sz w:val="18"/>
              </w:rPr>
              <w:t>Profit by Department</w:t>
            </w:r>
          </w:p>
        </w:tc>
        <w:tc>
          <w:tcPr>
            <w:tcW w:type="dxa" w:w="5040"/>
            <w:vAlign w:val="center"/>
          </w:tcPr>
          <w:p>
            <w:pPr>
              <w:spacing w:after="0"/>
            </w:pPr>
            <w:r/>
            <w:r>
              <w:rPr>
                <w:b w:val="0"/>
                <w:sz w:val="18"/>
              </w:rPr>
              <w:t>Compare departmental profit contribution.</w:t>
            </w:r>
          </w:p>
        </w:tc>
      </w:tr>
      <w:tr>
        <w:tc>
          <w:tcPr>
            <w:tcW w:type="dxa" w:w="5040"/>
            <w:vAlign w:val="center"/>
          </w:tcPr>
          <w:p>
            <w:pPr>
              <w:spacing w:after="0"/>
            </w:pPr>
            <w:r/>
            <w:r>
              <w:rPr>
                <w:b w:val="0"/>
                <w:sz w:val="18"/>
              </w:rPr>
              <w:t>Inventory Sales by Medicine Category</w:t>
            </w:r>
          </w:p>
        </w:tc>
        <w:tc>
          <w:tcPr>
            <w:tcW w:type="dxa" w:w="5040"/>
            <w:vAlign w:val="center"/>
          </w:tcPr>
          <w:p>
            <w:pPr>
              <w:spacing w:after="0"/>
            </w:pPr>
            <w:r/>
            <w:r>
              <w:rPr>
                <w:b w:val="0"/>
                <w:sz w:val="18"/>
              </w:rPr>
              <w:t>Understand category-level inventory sales mix.</w:t>
            </w:r>
          </w:p>
        </w:tc>
      </w:tr>
      <w:tr>
        <w:tc>
          <w:tcPr>
            <w:tcW w:type="dxa" w:w="5040"/>
            <w:vAlign w:val="center"/>
          </w:tcPr>
          <w:p>
            <w:pPr>
              <w:spacing w:after="0"/>
            </w:pPr>
            <w:r/>
            <w:r>
              <w:rPr>
                <w:b w:val="0"/>
                <w:sz w:val="18"/>
              </w:rPr>
              <w:t>Sales vs Target by Service Type</w:t>
            </w:r>
          </w:p>
        </w:tc>
        <w:tc>
          <w:tcPr>
            <w:tcW w:type="dxa" w:w="5040"/>
            <w:vAlign w:val="center"/>
          </w:tcPr>
          <w:p>
            <w:pPr>
              <w:spacing w:after="0"/>
            </w:pPr>
            <w:r/>
            <w:r>
              <w:rPr>
                <w:b w:val="0"/>
                <w:sz w:val="18"/>
              </w:rPr>
              <w:t>Identify service categories where actual performance differs from target.</w:t>
            </w:r>
          </w:p>
        </w:tc>
      </w:tr>
    </w:tbl>
    <w:p>
      <w:pPr>
        <w:spacing w:after="20"/>
      </w:pPr>
    </w:p>
    <w:p>
      <w:pPr>
        <w:spacing w:after="120"/>
      </w:pPr>
      <w:r>
        <w:t>The page converts the detailed analysis from earlier sections into a consolidated performance view, allowing management to move from individual operational measures to broader financial trends.</w:t>
      </w:r>
    </w:p>
    <w:p>
      <w:pPr>
        <w:pStyle w:val="Heading1"/>
      </w:pPr>
      <w:r>
        <w:t>13. Analytical Questions Supported by the SQL Layer</w:t>
      </w:r>
    </w:p>
    <w:p>
      <w:pPr>
        <w:spacing w:after="120"/>
      </w:pPr>
      <w:r>
        <w:t>The SQL work behind the project goes beyond dashboard aggregation. It defines analytical views for hospital patient volume, admissions, revenue, profit, bed-capacity performance, monthly admissions, admission types/status, diagnosis volume, length of stay, doctor appointment volume, specialization demand, department patient volume/revenue/profit, patient demographics, insurance distribution, medicine demand/sales/profit, category demand/revenue, medicine margins, hospital-wise medicine demand and monthly medicine sales.</w:t>
      </w:r>
    </w:p>
    <w:p>
      <w:pPr>
        <w:pStyle w:val="ListBullet"/>
        <w:spacing w:after="60"/>
      </w:pPr>
      <w:r>
        <w:t>Hospital performance can be compared using patient volume, admissions, revenue and profit.</w:t>
      </w:r>
    </w:p>
    <w:p>
      <w:pPr>
        <w:pStyle w:val="ListBullet"/>
        <w:spacing w:after="60"/>
      </w:pPr>
      <w:r>
        <w:t>Department performance can be evaluated through patient volume, revenue and profit.</w:t>
      </w:r>
    </w:p>
    <w:p>
      <w:pPr>
        <w:pStyle w:val="ListBullet"/>
        <w:spacing w:after="60"/>
      </w:pPr>
      <w:r>
        <w:t>Patient analysis includes gender, age group, state, city, insurance type and monthly registration.</w:t>
      </w:r>
    </w:p>
    <w:p>
      <w:pPr>
        <w:pStyle w:val="ListBullet"/>
        <w:spacing w:after="60"/>
      </w:pPr>
      <w:r>
        <w:t>Medicine analysis includes prescription frequency, sales, profit, category demand, category revenue and profit margin.</w:t>
      </w:r>
    </w:p>
    <w:p>
      <w:pPr>
        <w:pStyle w:val="ListBullet"/>
        <w:spacing w:after="60"/>
      </w:pPr>
      <w:r>
        <w:t>Hospital-specific medicine demand and monthly medicine sales can be ranked using SQL window functions.</w:t>
      </w:r>
    </w:p>
    <w:p>
      <w:pPr>
        <w:pStyle w:val="ListBullet"/>
        <w:spacing w:after="60"/>
      </w:pPr>
      <w:r>
        <w:t>Billing analysis can connect service transactions with payment mode, payment status, targets and profitability.</w:t>
      </w:r>
    </w:p>
    <w:p>
      <w:pPr>
        <w:spacing w:after="120"/>
      </w:pPr>
      <w:r>
        <w:t>The SQL script explicitly structures these questions as reusable views, creating a foundation for repeatable Power BI analysis. fileciteturn2file2L197-L248 fileciteturn2file2L394-L455 fileciteturn2file2L547-L650</w:t>
      </w:r>
    </w:p>
    <w:p>
      <w:pPr>
        <w:pStyle w:val="Heading1"/>
      </w:pPr>
      <w:r>
        <w:t>14. End-to-End Analytical Story</w:t>
      </w:r>
    </w:p>
    <w:p>
      <w:pPr>
        <w:pStyle w:val="ListBullet"/>
        <w:spacing w:after="60"/>
      </w:pPr>
      <w:r>
        <w:t>Executive overview → establish hospital, patient, pharmacy and financial scale.</w:t>
      </w:r>
    </w:p>
    <w:p>
      <w:pPr>
        <w:pStyle w:val="ListBullet"/>
        <w:spacing w:after="60"/>
      </w:pPr>
      <w:r>
        <w:t>Pharmacy analytics → understand medicine demand, prescription activity, sales and category profit.</w:t>
      </w:r>
    </w:p>
    <w:p>
      <w:pPr>
        <w:pStyle w:val="ListBullet"/>
        <w:spacing w:after="60"/>
      </w:pPr>
      <w:r>
        <w:t>Hospital analytics → understand admissions, appointments and length-of-stay patterns.</w:t>
      </w:r>
    </w:p>
    <w:p>
      <w:pPr>
        <w:pStyle w:val="ListBullet"/>
        <w:spacing w:after="60"/>
      </w:pPr>
      <w:r>
        <w:t>Financial analytics → evaluate billing, payment realization, service mix and target performance.</w:t>
      </w:r>
    </w:p>
    <w:p>
      <w:pPr>
        <w:pStyle w:val="ListBullet"/>
        <w:spacing w:after="60"/>
      </w:pPr>
      <w:r>
        <w:t>Laboratory &amp; inventory → connect diagnostic activity with inventory movement and medicine sales.</w:t>
      </w:r>
    </w:p>
    <w:p>
      <w:pPr>
        <w:pStyle w:val="ListBullet"/>
        <w:spacing w:after="60"/>
      </w:pPr>
      <w:r>
        <w:t>Overall performance → bring sales, profit, department performance and targets into a management summary.</w:t>
      </w:r>
    </w:p>
    <w:p>
      <w:pPr>
        <w:spacing w:after="120"/>
      </w:pPr>
      <w:r>
        <w:t>This structure creates a connected business story: Patient activity generates clinical and pharmacy demand; services and medicines create billing and sales; inventory movement supports medicine availability; and financial analysis shows how activity translates into revenue and profit.</w:t>
      </w:r>
    </w:p>
    <w:p>
      <w:pPr>
        <w:pStyle w:val="Heading1"/>
      </w:pPr>
      <w:r>
        <w:t>15. Key Findings from the Dashboard</w:t>
      </w:r>
    </w:p>
    <w:p>
      <w:pPr>
        <w:pStyle w:val="ListBullet"/>
        <w:spacing w:after="60"/>
      </w:pPr>
      <w:r>
        <w:t>The executive view displays 50K patients, 10K admissions, 10K prescriptions, ₹73.38M net revenue and ₹14.12M total profit.</w:t>
      </w:r>
    </w:p>
    <w:p>
      <w:pPr>
        <w:pStyle w:val="ListBullet"/>
        <w:spacing w:after="60"/>
      </w:pPr>
      <w:r>
        <w:t>Cardiac is the largest displayed medicine-sales category at approximately ₹8.99M.</w:t>
      </w:r>
    </w:p>
    <w:p>
      <w:pPr>
        <w:pStyle w:val="ListBullet"/>
        <w:spacing w:after="60"/>
      </w:pPr>
      <w:r>
        <w:t>The pharmacy page displays ₹57.32M total medicine sales and ₹8.01M medicine profit.</w:t>
      </w:r>
    </w:p>
    <w:p>
      <w:pPr>
        <w:pStyle w:val="ListBullet"/>
        <w:spacing w:after="60"/>
      </w:pPr>
      <w:r>
        <w:t>The financial page displays ₹75.86M total sales against a ₹78.54M total target.</w:t>
      </w:r>
    </w:p>
    <w:p>
      <w:pPr>
        <w:pStyle w:val="ListBullet"/>
        <w:spacing w:after="60"/>
      </w:pPr>
      <w:r>
        <w:t>Paid billing represents the largest displayed payment-status share at 77.24%, while pending and partial amounts remain visible for monitoring.</w:t>
      </w:r>
    </w:p>
    <w:p>
      <w:pPr>
        <w:pStyle w:val="ListBullet"/>
        <w:spacing w:after="60"/>
      </w:pPr>
      <w:r>
        <w:t>Service-level analysis compares Procedure, Consultation, Lab, Room and Pharmacy sales against targets.</w:t>
      </w:r>
    </w:p>
    <w:p>
      <w:pPr>
        <w:pStyle w:val="ListBullet"/>
        <w:spacing w:after="60"/>
      </w:pPr>
      <w:r>
        <w:t>Laboratory reporting distinguishes Normal, Abnormal, Pending and Critical outcomes, enabling result-status monitoring.</w:t>
      </w:r>
    </w:p>
    <w:p>
      <w:pPr>
        <w:pStyle w:val="ListBullet"/>
        <w:spacing w:after="60"/>
      </w:pPr>
      <w:r>
        <w:t>Inventory reporting shows ₹57.32M inventory sales and 550K inventory quantity in the displayed dashboard.</w:t>
      </w:r>
    </w:p>
    <w:p>
      <w:pPr>
        <w:pStyle w:val="ListBullet"/>
        <w:spacing w:after="60"/>
      </w:pPr>
      <w:r>
        <w:t>Overall performance analysis connects annual sales/profit trends with departmental profit and inventory-category sales.</w:t>
      </w:r>
    </w:p>
    <w:p>
      <w:pPr>
        <w:pStyle w:val="Heading1"/>
      </w:pPr>
      <w:r>
        <w:t>16. Business Value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Business Area</w:t>
            </w:r>
          </w:p>
        </w:tc>
        <w:tc>
          <w:tcPr>
            <w:tcW w:type="dxa" w:w="5040"/>
            <w:vAlign w:val="center"/>
            <w:shd w:fill="D9EAF7"/>
          </w:tcPr>
          <w:p>
            <w:pPr>
              <w:spacing w:after="0"/>
            </w:pPr>
            <w:r/>
            <w:r>
              <w:rPr>
                <w:b/>
                <w:sz w:val="19"/>
              </w:rPr>
              <w:t>Value Delivered</w:t>
            </w:r>
          </w:p>
        </w:tc>
      </w:tr>
      <w:tr>
        <w:tc>
          <w:tcPr>
            <w:tcW w:type="dxa" w:w="5040"/>
            <w:vAlign w:val="center"/>
          </w:tcPr>
          <w:p>
            <w:pPr>
              <w:spacing w:after="0"/>
            </w:pPr>
            <w:r/>
            <w:r>
              <w:rPr>
                <w:b w:val="0"/>
                <w:sz w:val="18"/>
              </w:rPr>
              <w:t>Hospital operations</w:t>
            </w:r>
          </w:p>
        </w:tc>
        <w:tc>
          <w:tcPr>
            <w:tcW w:type="dxa" w:w="5040"/>
            <w:vAlign w:val="center"/>
          </w:tcPr>
          <w:p>
            <w:pPr>
              <w:spacing w:after="0"/>
            </w:pPr>
            <w:r/>
            <w:r>
              <w:rPr>
                <w:b w:val="0"/>
                <w:sz w:val="18"/>
              </w:rPr>
              <w:t>Centralized monitoring of patients, admissions, appointments and stay duration.</w:t>
            </w:r>
          </w:p>
        </w:tc>
      </w:tr>
      <w:tr>
        <w:tc>
          <w:tcPr>
            <w:tcW w:type="dxa" w:w="5040"/>
            <w:vAlign w:val="center"/>
          </w:tcPr>
          <w:p>
            <w:pPr>
              <w:spacing w:after="0"/>
            </w:pPr>
            <w:r/>
            <w:r>
              <w:rPr>
                <w:b w:val="0"/>
                <w:sz w:val="18"/>
              </w:rPr>
              <w:t>Pharmacy management</w:t>
            </w:r>
          </w:p>
        </w:tc>
        <w:tc>
          <w:tcPr>
            <w:tcW w:type="dxa" w:w="5040"/>
            <w:vAlign w:val="center"/>
          </w:tcPr>
          <w:p>
            <w:pPr>
              <w:spacing w:after="0"/>
            </w:pPr>
            <w:r/>
            <w:r>
              <w:rPr>
                <w:b w:val="0"/>
                <w:sz w:val="18"/>
              </w:rPr>
              <w:t>Visibility into medicine demand, category sales, prescriptions and profit.</w:t>
            </w:r>
          </w:p>
        </w:tc>
      </w:tr>
      <w:tr>
        <w:tc>
          <w:tcPr>
            <w:tcW w:type="dxa" w:w="5040"/>
            <w:vAlign w:val="center"/>
          </w:tcPr>
          <w:p>
            <w:pPr>
              <w:spacing w:after="0"/>
            </w:pPr>
            <w:r/>
            <w:r>
              <w:rPr>
                <w:b w:val="0"/>
                <w:sz w:val="18"/>
              </w:rPr>
              <w:t>Financial control</w:t>
            </w:r>
          </w:p>
        </w:tc>
        <w:tc>
          <w:tcPr>
            <w:tcW w:type="dxa" w:w="5040"/>
            <w:vAlign w:val="center"/>
          </w:tcPr>
          <w:p>
            <w:pPr>
              <w:spacing w:after="0"/>
            </w:pPr>
            <w:r/>
            <w:r>
              <w:rPr>
                <w:b w:val="0"/>
                <w:sz w:val="18"/>
              </w:rPr>
              <w:t>Billing, payment status, sales, profit and target monitoring in one view.</w:t>
            </w:r>
          </w:p>
        </w:tc>
      </w:tr>
      <w:tr>
        <w:tc>
          <w:tcPr>
            <w:tcW w:type="dxa" w:w="5040"/>
            <w:vAlign w:val="center"/>
          </w:tcPr>
          <w:p>
            <w:pPr>
              <w:spacing w:after="0"/>
            </w:pPr>
            <w:r/>
            <w:r>
              <w:rPr>
                <w:b w:val="0"/>
                <w:sz w:val="18"/>
              </w:rPr>
              <w:t>Inventory management</w:t>
            </w:r>
          </w:p>
        </w:tc>
        <w:tc>
          <w:tcPr>
            <w:tcW w:type="dxa" w:w="5040"/>
            <w:vAlign w:val="center"/>
          </w:tcPr>
          <w:p>
            <w:pPr>
              <w:spacing w:after="0"/>
            </w:pPr>
            <w:r/>
            <w:r>
              <w:rPr>
                <w:b w:val="0"/>
                <w:sz w:val="18"/>
              </w:rPr>
              <w:t>Category-level and medicine-level inventory sales monitoring.</w:t>
            </w:r>
          </w:p>
        </w:tc>
      </w:tr>
      <w:tr>
        <w:tc>
          <w:tcPr>
            <w:tcW w:type="dxa" w:w="5040"/>
            <w:vAlign w:val="center"/>
          </w:tcPr>
          <w:p>
            <w:pPr>
              <w:spacing w:after="0"/>
            </w:pPr>
            <w:r/>
            <w:r>
              <w:rPr>
                <w:b w:val="0"/>
                <w:sz w:val="18"/>
              </w:rPr>
              <w:t>Laboratory operations</w:t>
            </w:r>
          </w:p>
        </w:tc>
        <w:tc>
          <w:tcPr>
            <w:tcW w:type="dxa" w:w="5040"/>
            <w:vAlign w:val="center"/>
          </w:tcPr>
          <w:p>
            <w:pPr>
              <w:spacing w:after="0"/>
            </w:pPr>
            <w:r/>
            <w:r>
              <w:rPr>
                <w:b w:val="0"/>
                <w:sz w:val="18"/>
              </w:rPr>
              <w:t>Result-status and department-level testing analysis.</w:t>
            </w:r>
          </w:p>
        </w:tc>
      </w:tr>
      <w:tr>
        <w:tc>
          <w:tcPr>
            <w:tcW w:type="dxa" w:w="5040"/>
            <w:vAlign w:val="center"/>
          </w:tcPr>
          <w:p>
            <w:pPr>
              <w:spacing w:after="0"/>
            </w:pPr>
            <w:r/>
            <w:r>
              <w:rPr>
                <w:b w:val="0"/>
                <w:sz w:val="18"/>
              </w:rPr>
              <w:t>Management reporting</w:t>
            </w:r>
          </w:p>
        </w:tc>
        <w:tc>
          <w:tcPr>
            <w:tcW w:type="dxa" w:w="5040"/>
            <w:vAlign w:val="center"/>
          </w:tcPr>
          <w:p>
            <w:pPr>
              <w:spacing w:after="0"/>
            </w:pPr>
            <w:r/>
            <w:r>
              <w:rPr>
                <w:b w:val="0"/>
                <w:sz w:val="18"/>
              </w:rPr>
              <w:t>Cross-functional performance view instead of disconnected operational reports.</w:t>
            </w:r>
          </w:p>
        </w:tc>
      </w:tr>
      <w:tr>
        <w:tc>
          <w:tcPr>
            <w:tcW w:type="dxa" w:w="5040"/>
            <w:vAlign w:val="center"/>
          </w:tcPr>
          <w:p>
            <w:pPr>
              <w:spacing w:after="0"/>
            </w:pPr>
            <w:r/>
            <w:r>
              <w:rPr>
                <w:b w:val="0"/>
                <w:sz w:val="18"/>
              </w:rPr>
              <w:t>Exception investigation</w:t>
            </w:r>
          </w:p>
        </w:tc>
        <w:tc>
          <w:tcPr>
            <w:tcW w:type="dxa" w:w="5040"/>
            <w:vAlign w:val="center"/>
          </w:tcPr>
          <w:p>
            <w:pPr>
              <w:spacing w:after="0"/>
            </w:pPr>
            <w:r/>
            <w:r>
              <w:rPr>
                <w:b w:val="0"/>
                <w:sz w:val="18"/>
              </w:rPr>
              <w:t>Filters and detailed comparisons support focused analysis by period, department, hospital, medicine and payment dimensions.</w:t>
            </w:r>
          </w:p>
        </w:tc>
      </w:tr>
    </w:tbl>
    <w:p>
      <w:pPr>
        <w:spacing w:after="20"/>
      </w:pPr>
    </w:p>
    <w:p>
      <w:pPr>
        <w:pStyle w:val="Heading1"/>
      </w:pPr>
      <w:r>
        <w:t>17. Recommended Action Areas</w:t>
      </w:r>
    </w:p>
    <w:p>
      <w:pPr>
        <w:spacing w:after="120"/>
      </w:pPr>
      <w:r>
        <w:t>These are analytical action areas suggested by the dashboard; they should not be interpreted as evidence that the organization has already implemented them.</w:t>
      </w:r>
    </w:p>
    <w:p>
      <w:pPr>
        <w:pStyle w:val="ListBullet"/>
        <w:spacing w:after="60"/>
      </w:pPr>
      <w:r>
        <w:t>Monitor medicine categories with high sales and high demand to support replenishment planning.</w:t>
      </w:r>
    </w:p>
    <w:p>
      <w:pPr>
        <w:pStyle w:val="ListBullet"/>
        <w:spacing w:after="60"/>
      </w:pPr>
      <w:r>
        <w:t>Compare high prescription activity with medicine sales and inventory movement to identify demand-supply alignment.</w:t>
      </w:r>
    </w:p>
    <w:p>
      <w:pPr>
        <w:pStyle w:val="ListBullet"/>
        <w:spacing w:after="60"/>
      </w:pPr>
      <w:r>
        <w:t>Review service types where actual sales differ materially from target.</w:t>
      </w:r>
    </w:p>
    <w:p>
      <w:pPr>
        <w:pStyle w:val="ListBullet"/>
        <w:spacing w:after="60"/>
      </w:pPr>
      <w:r>
        <w:t>Track pending and partial billing periodically to support payment follow-up.</w:t>
      </w:r>
    </w:p>
    <w:p>
      <w:pPr>
        <w:pStyle w:val="ListBullet"/>
        <w:spacing w:after="60"/>
      </w:pPr>
      <w:r>
        <w:t>Monitor abnormal, pending and critical laboratory results as operational exception categories.</w:t>
      </w:r>
    </w:p>
    <w:p>
      <w:pPr>
        <w:pStyle w:val="ListBullet"/>
        <w:spacing w:after="60"/>
      </w:pPr>
      <w:r>
        <w:t>Use department-level profit and hospital-level revenue views to investigate performance differences.</w:t>
      </w:r>
    </w:p>
    <w:p>
      <w:pPr>
        <w:pStyle w:val="ListBullet"/>
        <w:spacing w:after="60"/>
      </w:pPr>
      <w:r>
        <w:t>Use monthly sales and inventory trends to support demand planning and procurement decisions.</w:t>
      </w:r>
    </w:p>
    <w:p>
      <w:pPr>
        <w:pStyle w:val="ListBullet"/>
        <w:spacing w:after="60"/>
      </w:pPr>
      <w:r>
        <w:t>Extend the solution with forecast models or alerting once validated production data becomes available.</w:t>
      </w:r>
    </w:p>
    <w:p>
      <w:pPr>
        <w:pStyle w:val="Heading1"/>
      </w:pPr>
      <w:r>
        <w:t>18. Interactivity &amp; User Experience</w:t>
      </w:r>
    </w:p>
    <w:p>
      <w:pPr>
        <w:spacing w:after="120"/>
      </w:pPr>
      <w:r>
        <w:t>The dashboard uses slicers and page-level filtering to allow users to move from a broad management view to focused analysis. Visible filters include dimensions such as Year, Month/Month Short, Department, Hospital, Category, Medicine, Payment Mode, Payment Status and Doctor/organizational fields depending on the page.</w:t>
      </w:r>
    </w:p>
    <w:p>
      <w:pPr>
        <w:spacing w:after="120"/>
      </w:pPr>
      <w:r>
        <w:t>This enables questions such as: What happened in a selected year? Which department contributed to the change? Which medicine category drove sales? Which payment status contains outstanding billing? How does inventory sales movement compare with pharmacy sales?</w:t>
      </w:r>
    </w:p>
    <w:p>
      <w:pPr>
        <w:pStyle w:val="Heading1"/>
      </w:pPr>
      <w:r>
        <w:t>19. Technology &amp; Analytical 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Component</w:t>
            </w:r>
          </w:p>
        </w:tc>
        <w:tc>
          <w:tcPr>
            <w:tcW w:type="dxa" w:w="5040"/>
            <w:vAlign w:val="center"/>
            <w:shd w:fill="D9EAF7"/>
          </w:tcPr>
          <w:p>
            <w:pPr>
              <w:spacing w:after="0"/>
            </w:pPr>
            <w:r/>
            <w:r>
              <w:rPr>
                <w:b/>
                <w:sz w:val="19"/>
              </w:rPr>
              <w:t>Use</w:t>
            </w:r>
          </w:p>
        </w:tc>
      </w:tr>
      <w:tr>
        <w:tc>
          <w:tcPr>
            <w:tcW w:type="dxa" w:w="5040"/>
            <w:vAlign w:val="center"/>
          </w:tcPr>
          <w:p>
            <w:pPr>
              <w:spacing w:after="0"/>
            </w:pPr>
            <w:r/>
            <w:r>
              <w:rPr>
                <w:b w:val="0"/>
                <w:sz w:val="18"/>
              </w:rPr>
              <w:t>MySQL / SQL</w:t>
            </w:r>
          </w:p>
        </w:tc>
        <w:tc>
          <w:tcPr>
            <w:tcW w:type="dxa" w:w="5040"/>
            <w:vAlign w:val="center"/>
          </w:tcPr>
          <w:p>
            <w:pPr>
              <w:spacing w:after="0"/>
            </w:pPr>
            <w:r/>
            <w:r>
              <w:rPr>
                <w:b w:val="0"/>
                <w:sz w:val="18"/>
              </w:rPr>
              <w:t>Database schema, analytical views and business-question queries</w:t>
            </w:r>
          </w:p>
        </w:tc>
      </w:tr>
      <w:tr>
        <w:tc>
          <w:tcPr>
            <w:tcW w:type="dxa" w:w="5040"/>
            <w:vAlign w:val="center"/>
          </w:tcPr>
          <w:p>
            <w:pPr>
              <w:spacing w:after="0"/>
            </w:pPr>
            <w:r/>
            <w:r>
              <w:rPr>
                <w:b w:val="0"/>
                <w:sz w:val="18"/>
              </w:rPr>
              <w:t>Microsoft Power BI</w:t>
            </w:r>
          </w:p>
        </w:tc>
        <w:tc>
          <w:tcPr>
            <w:tcW w:type="dxa" w:w="5040"/>
            <w:vAlign w:val="center"/>
          </w:tcPr>
          <w:p>
            <w:pPr>
              <w:spacing w:after="0"/>
            </w:pPr>
            <w:r/>
            <w:r>
              <w:rPr>
                <w:b w:val="0"/>
                <w:sz w:val="18"/>
              </w:rPr>
              <w:t>Interactive dashboard and visual analytics</w:t>
            </w:r>
          </w:p>
        </w:tc>
      </w:tr>
      <w:tr>
        <w:tc>
          <w:tcPr>
            <w:tcW w:type="dxa" w:w="5040"/>
            <w:vAlign w:val="center"/>
          </w:tcPr>
          <w:p>
            <w:pPr>
              <w:spacing w:after="0"/>
            </w:pPr>
            <w:r/>
            <w:r>
              <w:rPr>
                <w:b w:val="0"/>
                <w:sz w:val="18"/>
              </w:rPr>
              <w:t>Relational data model</w:t>
            </w:r>
          </w:p>
        </w:tc>
        <w:tc>
          <w:tcPr>
            <w:tcW w:type="dxa" w:w="5040"/>
            <w:vAlign w:val="center"/>
          </w:tcPr>
          <w:p>
            <w:pPr>
              <w:spacing w:after="0"/>
            </w:pPr>
            <w:r/>
            <w:r>
              <w:rPr>
                <w:b w:val="0"/>
                <w:sz w:val="18"/>
              </w:rPr>
              <w:t>Connects hospital, patient, pharmacy, billing, lab and inventory domains</w:t>
            </w:r>
          </w:p>
        </w:tc>
      </w:tr>
      <w:tr>
        <w:tc>
          <w:tcPr>
            <w:tcW w:type="dxa" w:w="5040"/>
            <w:vAlign w:val="center"/>
          </w:tcPr>
          <w:p>
            <w:pPr>
              <w:spacing w:after="0"/>
            </w:pPr>
            <w:r/>
            <w:r>
              <w:rPr>
                <w:b w:val="0"/>
                <w:sz w:val="18"/>
              </w:rPr>
              <w:t>DAX / Measures</w:t>
            </w:r>
          </w:p>
        </w:tc>
        <w:tc>
          <w:tcPr>
            <w:tcW w:type="dxa" w:w="5040"/>
            <w:vAlign w:val="center"/>
          </w:tcPr>
          <w:p>
            <w:pPr>
              <w:spacing w:after="0"/>
            </w:pPr>
            <w:r/>
            <w:r>
              <w:rPr>
                <w:b w:val="0"/>
                <w:sz w:val="18"/>
              </w:rPr>
              <w:t>KPI calculation and dynamic reporting metrics</w:t>
            </w:r>
          </w:p>
        </w:tc>
      </w:tr>
      <w:tr>
        <w:tc>
          <w:tcPr>
            <w:tcW w:type="dxa" w:w="5040"/>
            <w:vAlign w:val="center"/>
          </w:tcPr>
          <w:p>
            <w:pPr>
              <w:spacing w:after="0"/>
            </w:pPr>
            <w:r/>
            <w:r>
              <w:rPr>
                <w:b w:val="0"/>
                <w:sz w:val="18"/>
              </w:rPr>
              <w:t>Slicers &amp; filters</w:t>
            </w:r>
          </w:p>
        </w:tc>
        <w:tc>
          <w:tcPr>
            <w:tcW w:type="dxa" w:w="5040"/>
            <w:vAlign w:val="center"/>
          </w:tcPr>
          <w:p>
            <w:pPr>
              <w:spacing w:after="0"/>
            </w:pPr>
            <w:r/>
            <w:r>
              <w:rPr>
                <w:b w:val="0"/>
                <w:sz w:val="18"/>
              </w:rPr>
              <w:t>Interactive analysis by time, department, hospital and business dimensions</w:t>
            </w:r>
          </w:p>
        </w:tc>
      </w:tr>
      <w:tr>
        <w:tc>
          <w:tcPr>
            <w:tcW w:type="dxa" w:w="5040"/>
            <w:vAlign w:val="center"/>
          </w:tcPr>
          <w:p>
            <w:pPr>
              <w:spacing w:after="0"/>
            </w:pPr>
            <w:r/>
            <w:r>
              <w:rPr>
                <w:b w:val="0"/>
                <w:sz w:val="18"/>
              </w:rPr>
              <w:t>SQL ranking / aggregation</w:t>
            </w:r>
          </w:p>
        </w:tc>
        <w:tc>
          <w:tcPr>
            <w:tcW w:type="dxa" w:w="5040"/>
            <w:vAlign w:val="center"/>
          </w:tcPr>
          <w:p>
            <w:pPr>
              <w:spacing w:after="0"/>
            </w:pPr>
            <w:r/>
            <w:r>
              <w:rPr>
                <w:b w:val="0"/>
                <w:sz w:val="18"/>
              </w:rPr>
              <w:t>Top medicines, hospital comparisons, monthly trends and category analysis</w:t>
            </w:r>
          </w:p>
        </w:tc>
      </w:tr>
    </w:tbl>
    <w:p>
      <w:pPr>
        <w:spacing w:after="20"/>
      </w:pPr>
    </w:p>
    <w:p>
      <w:pPr>
        <w:pStyle w:val="Heading1"/>
      </w:pPr>
      <w:r>
        <w:t>20. Data Scope, Assumptions &amp; Limitations</w:t>
      </w:r>
    </w:p>
    <w:p>
      <w:pPr>
        <w:pStyle w:val="ListBullet"/>
        <w:spacing w:after="60"/>
      </w:pPr>
      <w:r>
        <w:t>The case study uses the values displayed in the supplied Power BI dashboard PDF for dashboard KPIs.</w:t>
      </w:r>
    </w:p>
    <w:p>
      <w:pPr>
        <w:pStyle w:val="ListBullet"/>
        <w:spacing w:after="60"/>
      </w:pPr>
      <w:r>
        <w:t>The SQL script defines the analytical schema and reusable views; dashboard presentation values are treated as the reporting layer.</w:t>
      </w:r>
    </w:p>
    <w:p>
      <w:pPr>
        <w:pStyle w:val="ListBullet"/>
        <w:spacing w:after="60"/>
      </w:pPr>
      <w:r>
        <w:t>Some visuals use abbreviated display values such as K and M; the case study retains those displayed units.</w:t>
      </w:r>
    </w:p>
    <w:p>
      <w:pPr>
        <w:pStyle w:val="ListBullet"/>
        <w:spacing w:after="60"/>
      </w:pPr>
      <w:r>
        <w:t>The dataset is intended for analytics/project demonstration and should not be interpreted as a production hospital information system without source validation.</w:t>
      </w:r>
    </w:p>
    <w:p>
      <w:pPr>
        <w:pStyle w:val="ListBullet"/>
        <w:spacing w:after="60"/>
      </w:pPr>
      <w:r>
        <w:t>Before production deployment, business definitions, source-system reconciliation, refresh governance, access control and healthcare data privacy requirements should be validated.</w:t>
      </w:r>
    </w:p>
    <w:p>
      <w:pPr>
        <w:pStyle w:val="Heading1"/>
      </w:pPr>
      <w:r>
        <w:t>21. Project Statement</w:t>
      </w:r>
    </w:p>
    <w:p>
      <w:pPr>
        <w:spacing w:after="120"/>
      </w:pPr>
      <w:r>
        <w:t>I developed an integrated Power BI Pharmacy &amp; Hospital Analytics solution that combines patient activity, hospital operations, pharmacy and medicine performance, billing, financial targets, laboratory activity, inventory movement and profitability into an interactive management reporting environment. The solution enables users to monitor KPIs, analyze trends, compare departments and hospitals, investigate medicine and service performance, and evaluate financial and operational outcomes through interactive Power BI analysis.</w:t>
      </w:r>
    </w:p>
    <w:p>
      <w:pPr>
        <w:pStyle w:val="Heading1"/>
      </w:pPr>
      <w:r>
        <w:t>22. Conclusion</w:t>
      </w:r>
    </w:p>
    <w:p>
      <w:pPr>
        <w:spacing w:after="120"/>
      </w:pPr>
      <w:r>
        <w:t>The Pharmacy &amp; Hospital Analytics dashboard demonstrates how multiple healthcare data domains can be brought together into a single business-intelligence solution. By connecting patient activity with pharmacy demand, billing, laboratory results, inventory and profitability, the dashboard provides a broader management view than a standalone pharmacy or hospital report.</w:t>
      </w:r>
    </w:p>
    <w:tbl>
      <w:tblPr>
        <w:tblStyle w:val="TableGrid"/>
        <w:tblW w:type="auto" w:w="0"/>
        <w:tblLook w:firstColumn="1" w:firstRow="1" w:lastColumn="0" w:lastRow="0" w:noHBand="0" w:noVBand="1" w:val="04A0"/>
      </w:tblPr>
      <w:tblGrid>
        <w:gridCol w:w="10080"/>
      </w:tblGrid>
      <w:tr>
        <w:tc>
          <w:tcPr>
            <w:tcW w:type="dxa" w:w="10080"/>
            <w:shd w:fill="EEF5FA"/>
          </w:tcPr>
          <w:p>
            <w:r>
              <w:rPr>
                <w:b/>
                <w:sz w:val="21"/>
              </w:rPr>
              <w:t>End-to-end value chain</w:t>
              <w:br/>
            </w:r>
            <w:r>
              <w:rPr>
                <w:sz w:val="19"/>
              </w:rPr>
              <w:t>Patient &amp; Hospital Activity → Prescriptions &amp; Services → Billing &amp; Sales → Inventory &amp; Laboratory Monitoring → Profit &amp; Target Performance → Management Action</w:t>
            </w:r>
          </w:p>
        </w:tc>
      </w:tr>
    </w:tbl>
    <w:p>
      <w:pPr>
        <w:spacing w:after="4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Pharmacy &amp; Hospital Analytics | Power BI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