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006BC">
      <w:pPr>
        <w:spacing w:line="360" w:lineRule="auto"/>
        <w:jc w:val="both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b/>
          <w:bCs/>
          <w:sz w:val="32"/>
          <w:szCs w:val="32"/>
        </w:rPr>
        <w:t>Project Title: Inquiry Management and Auto-Response System</w:t>
      </w:r>
      <w:r>
        <w:rPr>
          <w:rFonts w:hint="default" w:asciiTheme="minorAscii" w:hAnsiTheme="minorAscii" w:cstheme="minorHAnsi"/>
          <w:b/>
          <w:bCs/>
          <w:sz w:val="32"/>
          <w:szCs w:val="32"/>
        </w:rPr>
        <w:br w:type="textWrapping"/>
      </w:r>
      <w:r>
        <w:rPr>
          <w:rFonts w:hint="default" w:asciiTheme="minorAscii" w:hAnsiTheme="minorAscii" w:cstheme="minorHAnsi"/>
          <w:b/>
          <w:bCs/>
          <w:sz w:val="24"/>
          <w:szCs w:val="24"/>
        </w:rPr>
        <w:t>Industry</w:t>
      </w:r>
      <w:r>
        <w:rPr>
          <w:rFonts w:hint="default" w:asciiTheme="minorAscii" w:hAnsiTheme="minorAscii" w:cstheme="minorHAnsi"/>
          <w:sz w:val="24"/>
          <w:szCs w:val="24"/>
        </w:rPr>
        <w:t>: Suitable for Education, Retail, Services, Finance</w:t>
      </w:r>
      <w:r>
        <w:rPr>
          <w:rFonts w:hint="default" w:asciiTheme="minorAscii" w:hAnsiTheme="minorAscii" w:cstheme="minorHAnsi"/>
          <w:sz w:val="24"/>
          <w:szCs w:val="24"/>
        </w:rPr>
        <w:br w:type="textWrapping"/>
      </w:r>
      <w:r>
        <w:rPr>
          <w:rFonts w:hint="default" w:asciiTheme="minorAscii" w:hAnsiTheme="minorAscii" w:cstheme="minorHAnsi"/>
          <w:b/>
          <w:bCs/>
          <w:sz w:val="24"/>
          <w:szCs w:val="24"/>
        </w:rPr>
        <w:t>Project Type</w:t>
      </w:r>
      <w:r>
        <w:rPr>
          <w:rFonts w:hint="default" w:asciiTheme="minorAscii" w:hAnsiTheme="minorAscii" w:cstheme="minorHAnsi"/>
          <w:sz w:val="24"/>
          <w:szCs w:val="24"/>
        </w:rPr>
        <w:t>: Salesforce Lead Management Application</w:t>
      </w:r>
      <w:r>
        <w:rPr>
          <w:rFonts w:hint="default" w:asciiTheme="minorAscii" w:hAnsiTheme="minorAscii" w:cstheme="minorHAnsi"/>
          <w:b/>
          <w:bCs/>
          <w:sz w:val="24"/>
          <w:szCs w:val="24"/>
        </w:rPr>
        <w:br w:type="textWrapping"/>
      </w:r>
      <w:r>
        <w:rPr>
          <w:rFonts w:hint="default" w:asciiTheme="minorAscii" w:hAnsiTheme="minorAscii" w:cstheme="minorHAnsi"/>
          <w:b/>
          <w:bCs/>
          <w:sz w:val="24"/>
          <w:szCs w:val="24"/>
        </w:rPr>
        <w:t>Target Users</w:t>
      </w:r>
      <w:r>
        <w:rPr>
          <w:rFonts w:hint="default" w:asciiTheme="minorAscii" w:hAnsiTheme="minorAscii" w:cstheme="minorHAnsi"/>
          <w:sz w:val="24"/>
          <w:szCs w:val="24"/>
        </w:rPr>
        <w:t>: Support Staff, Sales Teams, Customers/Students/Clients</w:t>
      </w:r>
    </w:p>
    <w:p w14:paraId="03DF4B11">
      <w:pPr>
        <w:spacing w:line="360" w:lineRule="auto"/>
        <w:jc w:val="both"/>
        <w:rPr>
          <w:rFonts w:hint="default" w:asciiTheme="minorAscii" w:hAnsiTheme="minorAscii" w:cstheme="minorHAnsi"/>
          <w:b/>
          <w:bCs/>
          <w:sz w:val="24"/>
          <w:szCs w:val="24"/>
        </w:rPr>
      </w:pPr>
      <w:r>
        <w:rPr>
          <w:rFonts w:hint="default" w:asciiTheme="minorAscii" w:hAnsiTheme="minorAscii" w:cstheme="minorHAnsi"/>
          <w:b/>
          <w:bCs/>
          <w:sz w:val="24"/>
          <w:szCs w:val="24"/>
        </w:rPr>
        <w:t>Problem Statement:</w:t>
      </w:r>
      <w:r>
        <w:rPr>
          <w:rFonts w:hint="default" w:asciiTheme="minorAscii" w:hAnsiTheme="minorAscii" w:cstheme="minorHAnsi"/>
          <w:b/>
          <w:bCs/>
          <w:sz w:val="24"/>
          <w:szCs w:val="24"/>
        </w:rPr>
        <w:br w:type="textWrapping"/>
      </w:r>
      <w:r>
        <w:rPr>
          <w:rFonts w:hint="default" w:asciiTheme="minorAscii" w:hAnsiTheme="minorAscii" w:cstheme="minorHAnsi"/>
          <w:sz w:val="24"/>
          <w:szCs w:val="24"/>
        </w:rPr>
        <w:t>Organizations receive frequent inquiries via forms, emails, or chat. Manual tracking delays response and follow-up, resulting in missed opportunities and low customer satisfaction.</w:t>
      </w:r>
    </w:p>
    <w:p w14:paraId="0ED9E5E7">
      <w:pPr>
        <w:spacing w:line="360" w:lineRule="auto"/>
        <w:jc w:val="both"/>
        <w:rPr>
          <w:rFonts w:hint="default" w:asciiTheme="minorAscii" w:hAnsiTheme="minorAscii" w:cstheme="minorHAnsi"/>
          <w:b/>
          <w:bCs/>
          <w:sz w:val="24"/>
          <w:szCs w:val="24"/>
        </w:rPr>
      </w:pPr>
      <w:r>
        <w:rPr>
          <w:rFonts w:hint="default" w:asciiTheme="minorAscii" w:hAnsiTheme="minorAscii" w:cstheme="minorHAnsi"/>
          <w:b/>
          <w:bCs/>
          <w:sz w:val="24"/>
          <w:szCs w:val="24"/>
        </w:rPr>
        <w:t>Solution:</w:t>
      </w:r>
      <w:r>
        <w:rPr>
          <w:rFonts w:hint="default" w:asciiTheme="minorAscii" w:hAnsiTheme="minorAscii" w:cstheme="minorHAnsi"/>
          <w:b/>
          <w:bCs/>
          <w:sz w:val="24"/>
          <w:szCs w:val="24"/>
        </w:rPr>
        <w:br w:type="textWrapping"/>
      </w:r>
      <w:r>
        <w:rPr>
          <w:rFonts w:hint="default" w:asciiTheme="minorAscii" w:hAnsiTheme="minorAscii" w:cstheme="minorHAnsi"/>
          <w:sz w:val="24"/>
          <w:szCs w:val="24"/>
        </w:rPr>
        <w:t>Create a Salesforce app to capture all incoming inquiries, assign them automatically, and send instant confirmation or auto-response to the sender.</w:t>
      </w:r>
    </w:p>
    <w:p w14:paraId="58557654">
      <w:pPr>
        <w:spacing w:line="360" w:lineRule="auto"/>
        <w:jc w:val="both"/>
        <w:rPr>
          <w:rFonts w:hint="default" w:asciiTheme="minorAscii" w:hAnsiTheme="minorAscii" w:cstheme="minorHAnsi"/>
          <w:b/>
          <w:bCs/>
          <w:sz w:val="32"/>
          <w:szCs w:val="32"/>
        </w:rPr>
      </w:pPr>
      <w:r>
        <w:rPr>
          <w:rFonts w:hint="default" w:asciiTheme="minorAscii" w:hAnsiTheme="minorAscii" w:cstheme="minorHAnsi"/>
          <w:b/>
          <w:bCs/>
          <w:sz w:val="32"/>
          <w:szCs w:val="32"/>
        </w:rPr>
        <w:t>Phase 1: Problem Understanding &amp; Industry Analysis</w:t>
      </w:r>
    </w:p>
    <w:p w14:paraId="61A9632F">
      <w:pPr>
        <w:numPr>
          <w:ilvl w:val="0"/>
          <w:numId w:val="1"/>
        </w:numPr>
        <w:spacing w:line="360" w:lineRule="auto"/>
        <w:jc w:val="both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b/>
          <w:bCs/>
          <w:sz w:val="24"/>
          <w:szCs w:val="24"/>
        </w:rPr>
        <w:t xml:space="preserve">Requirement Gathering: </w:t>
      </w:r>
      <w:r>
        <w:rPr>
          <w:rFonts w:hint="default" w:asciiTheme="minorAscii" w:hAnsiTheme="minorAscii" w:cstheme="minorHAnsi"/>
          <w:sz w:val="24"/>
          <w:szCs w:val="24"/>
        </w:rPr>
        <w:t>Identify and document the key needs and challenges from all stakeholders.</w:t>
      </w:r>
      <w:bookmarkStart w:id="0" w:name="_GoBack"/>
      <w:bookmarkEnd w:id="0"/>
    </w:p>
    <w:p w14:paraId="3A4EE6C7">
      <w:pPr>
        <w:numPr>
          <w:ilvl w:val="0"/>
          <w:numId w:val="1"/>
        </w:numPr>
        <w:spacing w:line="360" w:lineRule="auto"/>
        <w:jc w:val="both"/>
        <w:rPr>
          <w:rFonts w:hint="default" w:asciiTheme="minorAscii" w:hAnsiTheme="minorAscii" w:cstheme="minorHAnsi"/>
          <w:b/>
          <w:bCs/>
          <w:sz w:val="24"/>
          <w:szCs w:val="24"/>
        </w:rPr>
      </w:pPr>
      <w:r>
        <w:rPr>
          <w:rFonts w:hint="default" w:asciiTheme="minorAscii" w:hAnsiTheme="minorAscii" w:cstheme="minorHAnsi"/>
          <w:b/>
          <w:bCs/>
          <w:sz w:val="24"/>
          <w:szCs w:val="24"/>
        </w:rPr>
        <w:t>Stakeholder Analysis:</w:t>
      </w:r>
    </w:p>
    <w:p w14:paraId="7FF83EEC">
      <w:pPr>
        <w:numPr>
          <w:ilvl w:val="1"/>
          <w:numId w:val="1"/>
        </w:numPr>
        <w:spacing w:line="360" w:lineRule="auto"/>
        <w:jc w:val="both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Sales/support team (high interaction with customers)</w:t>
      </w:r>
    </w:p>
    <w:p w14:paraId="7192F3BE">
      <w:pPr>
        <w:numPr>
          <w:ilvl w:val="1"/>
          <w:numId w:val="1"/>
        </w:numPr>
        <w:spacing w:line="360" w:lineRule="auto"/>
        <w:jc w:val="both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Managers (monitoring metrics and team performance)</w:t>
      </w:r>
    </w:p>
    <w:p w14:paraId="2D9DC4B9">
      <w:pPr>
        <w:numPr>
          <w:ilvl w:val="1"/>
          <w:numId w:val="1"/>
        </w:numPr>
        <w:spacing w:line="360" w:lineRule="auto"/>
        <w:jc w:val="both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IT/Admin (system maintenance)</w:t>
      </w:r>
    </w:p>
    <w:p w14:paraId="1890BB0F">
      <w:pPr>
        <w:numPr>
          <w:ilvl w:val="0"/>
          <w:numId w:val="1"/>
        </w:numPr>
        <w:spacing w:line="360" w:lineRule="auto"/>
        <w:jc w:val="both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b/>
          <w:bCs/>
          <w:sz w:val="24"/>
          <w:szCs w:val="24"/>
        </w:rPr>
        <w:t>Business Process Mapping</w:t>
      </w:r>
      <w:r>
        <w:rPr>
          <w:rFonts w:hint="default" w:asciiTheme="minorAscii" w:hAnsiTheme="minorAscii" w:cstheme="minorHAnsi"/>
          <w:sz w:val="24"/>
          <w:szCs w:val="24"/>
        </w:rPr>
        <w:t>: Document the current flow: Customer inquiry → Manual logging → Follow-up → Resolution.</w:t>
      </w:r>
    </w:p>
    <w:p w14:paraId="0364FDBA">
      <w:pPr>
        <w:numPr>
          <w:ilvl w:val="0"/>
          <w:numId w:val="1"/>
        </w:numPr>
        <w:spacing w:line="360" w:lineRule="auto"/>
        <w:jc w:val="both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b/>
          <w:bCs/>
          <w:sz w:val="24"/>
          <w:szCs w:val="24"/>
        </w:rPr>
        <w:t xml:space="preserve">Industry-Specific Use Case Analysis: </w:t>
      </w:r>
      <w:r>
        <w:rPr>
          <w:rFonts w:hint="default" w:asciiTheme="minorAscii" w:hAnsiTheme="minorAscii" w:cstheme="minorHAnsi"/>
          <w:sz w:val="24"/>
          <w:szCs w:val="24"/>
        </w:rPr>
        <w:t>For example, a college receives course inquiries via website forms; Salesforce logs each inquiry, sends an instant “Thank you, we’ll respond soon,” and routes to admissions staff.</w:t>
      </w:r>
    </w:p>
    <w:p w14:paraId="04C52F34">
      <w:pPr>
        <w:numPr>
          <w:ilvl w:val="0"/>
          <w:numId w:val="1"/>
        </w:numPr>
        <w:spacing w:line="360" w:lineRule="auto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 w:cstheme="minorHAnsi"/>
          <w:b/>
          <w:bCs/>
          <w:sz w:val="24"/>
          <w:szCs w:val="24"/>
        </w:rPr>
        <w:t xml:space="preserve">AppExchange Exploration: </w:t>
      </w:r>
      <w:r>
        <w:rPr>
          <w:rFonts w:hint="default" w:asciiTheme="minorAscii" w:hAnsiTheme="minorAscii" w:cstheme="minorHAnsi"/>
          <w:sz w:val="24"/>
          <w:szCs w:val="24"/>
        </w:rPr>
        <w:t>Explore lead/inquiry management apps for possible extensions or templates.</w:t>
      </w:r>
    </w:p>
    <w:p w14:paraId="6F978C6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/>
          <w:bCs/>
          <w:color w:val="030303"/>
          <w:highlight w:val="none"/>
        </w:rPr>
      </w:pPr>
      <w:r>
        <w:rPr>
          <w:rFonts w:hint="default" w:asciiTheme="minorAscii" w:hAnsiTheme="minorAscii"/>
          <w:b/>
          <w:bCs/>
          <w:color w:val="030303"/>
          <w:highlight w:val="none"/>
        </w:rPr>
        <w:t>Phase 2: Org Setup &amp; Configuration Steps</w:t>
      </w:r>
    </w:p>
    <w:p w14:paraId="4790FAE3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Set up Company Profile with organization info, fiscal year, time zone, and currency.</w:t>
      </w:r>
    </w:p>
    <w:p w14:paraId="1F2AA14F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Configured Business Hours and added official Holidays.</w:t>
      </w:r>
    </w:p>
    <w:p w14:paraId="36644740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Defined Fiscal Year settings (standard or custom).</w:t>
      </w:r>
    </w:p>
    <w:p w14:paraId="1D76849C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Created and assigned Users, User Licenses, and Profiles.</w:t>
      </w:r>
    </w:p>
    <w:p w14:paraId="3FF12AB7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Established Role hierarchy and set up Permission Sets.</w:t>
      </w:r>
    </w:p>
    <w:p w14:paraId="6F2C54AC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Set Organization-Wide Defaults (OWD) for record access.</w:t>
      </w:r>
    </w:p>
    <w:p w14:paraId="6C926AF4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Created Sharing Rules for data visibility.</w:t>
      </w:r>
    </w:p>
    <w:p w14:paraId="2C7BE13C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Set Login Access Policies (login hours, IP ranges, security).</w:t>
      </w:r>
    </w:p>
    <w:p w14:paraId="5FACC1C8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4"/>
          <w:szCs w:val="24"/>
        </w:rPr>
        <w:t>Set up Developer Edition and Sandboxes for testing and development.</w:t>
      </w:r>
    </w:p>
    <w:p w14:paraId="044D3222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Theme="minorAscii" w:hAnsiTheme="minorAscii"/>
        </w:rPr>
      </w:pPr>
      <w:r>
        <w:drawing>
          <wp:inline distT="0" distB="0" distL="114300" distR="114300">
            <wp:extent cx="5531485" cy="2727325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1532" t="8516" r="1776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1D64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cs="Calibri Light" w:asciiTheme="minorAscii" w:hAnsiTheme="minorAscii"/>
          <w:b/>
          <w:bCs/>
          <w:color w:val="auto"/>
        </w:rPr>
      </w:pPr>
      <w:r>
        <w:rPr>
          <w:rFonts w:hint="default" w:cs="Calibri Light" w:asciiTheme="minorAscii" w:hAnsiTheme="minorAscii"/>
          <w:b/>
          <w:bCs/>
          <w:color w:val="auto"/>
        </w:rPr>
        <w:t>Phase 3: Data Modeling and Relationships</w:t>
      </w:r>
    </w:p>
    <w:p w14:paraId="18072BC0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900" w:leftChars="0" w:right="0" w:hanging="420" w:firstLineChars="0"/>
      </w:pPr>
      <w:r>
        <w:t>Designed the core data model using standard objects  along with custom objects tailored to business needs.</w:t>
      </w:r>
    </w:p>
    <w:p w14:paraId="0EC9AD1F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900" w:leftChars="0" w:right="0" w:hanging="420" w:firstLineChars="0"/>
      </w:pPr>
      <w:r>
        <w:t>Created fields of appropriate data types on each object to capture necessary information efficiently.</w:t>
      </w:r>
    </w:p>
    <w:p w14:paraId="6B43E8F2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900" w:leftChars="0" w:right="0" w:hanging="420" w:firstLineChars="0"/>
      </w:pPr>
      <w:r>
        <w:t>Used record types to support multiple business processes or page layouts on the same object.</w:t>
      </w:r>
    </w:p>
    <w:p w14:paraId="779E4178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900" w:leftChars="0" w:right="0" w:hanging="420" w:firstLineChars="0"/>
      </w:pPr>
      <w:r>
        <w:t>Built page layouts and compact layouts to control field visibility and optimize the user interface for different user roles.</w:t>
      </w:r>
    </w:p>
    <w:p w14:paraId="61A908E7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900" w:leftChars="0" w:right="0" w:hanging="420" w:firstLineChars="0"/>
      </w:pPr>
      <w:r>
        <w:t>Utilized Schema Builder for visualizing and configuring object relationships, improving clarity in data design.</w:t>
      </w:r>
    </w:p>
    <w:p w14:paraId="65F6B396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900" w:leftChars="0" w:right="0" w:hanging="420" w:firstLineChars="0"/>
      </w:pPr>
      <w:r>
        <w:t>Established key relationships between objects</w:t>
      </w:r>
      <w:r>
        <w:rPr>
          <w:rFonts w:hint="default"/>
          <w:lang w:val="en-US"/>
        </w:rPr>
        <w:t>.</w:t>
      </w:r>
    </w:p>
    <w:p w14:paraId="1725A5FB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50847D4E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727065" cy="2487295"/>
            <wp:effectExtent l="0" t="0" r="3175" b="1206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5703">
      <w:pPr>
        <w:pStyle w:val="1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drawing>
          <wp:inline distT="0" distB="0" distL="114300" distR="114300">
            <wp:extent cx="5667375" cy="2809875"/>
            <wp:effectExtent l="0" t="0" r="0" b="0"/>
            <wp:docPr id="1" name="Picture 1" descr="Screenshot (4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48)"/>
                    <pic:cNvPicPr>
                      <a:picLocks noChangeAspect="1"/>
                    </pic:cNvPicPr>
                  </pic:nvPicPr>
                  <pic:blipFill>
                    <a:blip r:embed="rId8"/>
                    <a:srcRect l="542" t="7684" r="663" b="644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0A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cs="Calibri" w:asciiTheme="minorAscii" w:hAnsiTheme="minorAscii"/>
          <w:b/>
          <w:bCs/>
          <w:color w:val="auto"/>
        </w:rPr>
      </w:pPr>
      <w:r>
        <w:rPr>
          <w:rFonts w:hint="default" w:cs="Calibri" w:asciiTheme="minorAscii" w:hAnsiTheme="minorAscii"/>
          <w:b/>
          <w:bCs/>
          <w:color w:val="auto"/>
        </w:rPr>
        <w:t>Phase 4: Process Automation (Admin)</w:t>
      </w:r>
    </w:p>
    <w:p w14:paraId="04397E17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This phase covers automation of key business processes for Inquiry Management using Salesforce declarative tools.</w:t>
      </w:r>
    </w:p>
    <w:p w14:paraId="72FC8D03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Validation Rules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Ensured mandatory fields are completed and data quality checks. For example, making Inquiry Type and Customer Email required.</w:t>
      </w:r>
    </w:p>
    <w:p w14:paraId="0BD20D68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Workflow Rules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Created workflows to auto-assign inquiries, send auto-response emails, and create follow-up tasks.</w:t>
      </w:r>
    </w:p>
    <w:p w14:paraId="234E7BA2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Process Builder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Automated updates and notifications when inquiry status changes, updating related records as needed.</w:t>
      </w:r>
    </w:p>
    <w:p w14:paraId="573A1C8B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Approval Process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Enabled approval routing for high-value or high-priority inquiries, with status updates and notifications post approval or rejection.</w:t>
      </w:r>
    </w:p>
    <w:p w14:paraId="1F9F6D5D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Flow Builder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Developed screen flows for guided input, record-triggered flows for backend automation, and scheduled flows for periodic tasks.</w:t>
      </w:r>
    </w:p>
    <w:p w14:paraId="136F6BAD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Email Alerts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Configured email templates and alerts linked to workflow and process builder for customer and internal notifications.</w:t>
      </w:r>
    </w:p>
    <w:p w14:paraId="3CCE4F55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Field Updates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Automatically updated status fields, checkboxes, and other flags to maintain data consistency.</w:t>
      </w:r>
    </w:p>
    <w:p w14:paraId="38BE200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Tasks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Generated follow-up tasks automatically to ensure timely customer engagement.</w:t>
      </w:r>
    </w:p>
    <w:p w14:paraId="197E4863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Style w:val="18"/>
          <w:rFonts w:hint="default" w:asciiTheme="minorAscii" w:hAnsiTheme="minorAscii"/>
        </w:rPr>
        <w:t>Custom Notifications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Delivered real-time, in-app notifications to users for important inquiry events.</w:t>
      </w:r>
    </w:p>
    <w:p w14:paraId="3508708C">
      <w:pPr>
        <w:spacing w:line="360" w:lineRule="auto"/>
        <w:jc w:val="both"/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594350" cy="2734945"/>
            <wp:effectExtent l="0" t="0" r="0" b="0"/>
            <wp:docPr id="2" name="Picture 2" descr="Screenshot (4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58)"/>
                    <pic:cNvPicPr>
                      <a:picLocks noChangeAspect="1"/>
                    </pic:cNvPicPr>
                  </pic:nvPicPr>
                  <pic:blipFill>
                    <a:blip r:embed="rId9"/>
                    <a:srcRect l="422" t="9051" r="1842" b="6015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68F5">
      <w:pPr>
        <w:spacing w:line="360" w:lineRule="auto"/>
        <w:jc w:val="both"/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579110" cy="2101850"/>
            <wp:effectExtent l="0" t="0" r="0" b="0"/>
            <wp:docPr id="3" name="Picture 3" descr="Screenshot (4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59)"/>
                    <pic:cNvPicPr>
                      <a:picLocks noChangeAspect="1"/>
                    </pic:cNvPicPr>
                  </pic:nvPicPr>
                  <pic:blipFill>
                    <a:blip r:embed="rId10"/>
                    <a:srcRect l="1300" t="9864" r="1045" b="25271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2814">
      <w:pPr>
        <w:spacing w:line="360" w:lineRule="auto"/>
        <w:jc w:val="both"/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557520" cy="2307590"/>
            <wp:effectExtent l="0" t="0" r="0" b="0"/>
            <wp:docPr id="4" name="Picture 4" descr="Screenshot (4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460)"/>
                    <pic:cNvPicPr>
                      <a:picLocks noChangeAspect="1"/>
                    </pic:cNvPicPr>
                  </pic:nvPicPr>
                  <pic:blipFill>
                    <a:blip r:embed="rId11"/>
                    <a:srcRect l="1065" t="15066" r="1842" b="13272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6AB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eastAsia="Calibri-Bold" w:cs="Calibri" w:asciiTheme="minorAscii" w:hAnsiTheme="minorAscii"/>
          <w:b/>
          <w:bCs/>
          <w:color w:val="auto"/>
          <w:kern w:val="0"/>
          <w:sz w:val="32"/>
          <w:szCs w:val="32"/>
          <w:lang w:val="en-US" w:eastAsia="zh-CN" w:bidi="ar"/>
          <w14:ligatures w14:val="standardContextual"/>
        </w:rPr>
      </w:pPr>
      <w:r>
        <w:rPr>
          <w:rFonts w:hint="default" w:eastAsia="Calibri-Bold" w:cs="Calibri" w:asciiTheme="minorAscii" w:hAnsiTheme="minorAscii"/>
          <w:b/>
          <w:bCs/>
          <w:color w:val="auto"/>
          <w:kern w:val="0"/>
          <w:sz w:val="32"/>
          <w:szCs w:val="32"/>
          <w:lang w:val="en-US" w:eastAsia="zh-CN" w:bidi="ar"/>
          <w14:ligatures w14:val="standardContextual"/>
        </w:rPr>
        <w:t>Phase 5: Apex Programming (Developer)</w:t>
      </w:r>
    </w:p>
    <w:p w14:paraId="62FCBB3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color w:val="auto"/>
          <w:sz w:val="24"/>
          <w:szCs w:val="24"/>
          <w:lang w:val="en-US"/>
        </w:rPr>
        <w:t xml:space="preserve">Apex </w:t>
      </w:r>
      <w:r>
        <w:rPr>
          <w:rFonts w:hint="default" w:asciiTheme="minorAscii" w:hAnsiTheme="minorAscii"/>
          <w:b/>
          <w:bCs/>
          <w:color w:val="auto"/>
          <w:sz w:val="24"/>
          <w:szCs w:val="24"/>
        </w:rPr>
        <w:t>Classes and Responsibilities</w:t>
      </w:r>
    </w:p>
    <w:p w14:paraId="58CB008B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InquiryService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Contains main business logic for auto-assigning and sending email responses for inquiries.</w:t>
      </w:r>
    </w:p>
    <w:p w14:paraId="6E573002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InquiryTriggerHandler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Manages trigger logic for Inquiry records on insert and update events.</w:t>
      </w:r>
    </w:p>
    <w:p w14:paraId="422DA46C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InquiryTrigger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Salesforce trigger delegating inquiry-related DML events to InquiryTriggerHandler.</w:t>
      </w:r>
    </w:p>
    <w:p w14:paraId="3FDE3BB7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InquiryBatch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Batch Apex class for bulk asynchronous processing of inquiries.</w:t>
      </w:r>
    </w:p>
    <w:p w14:paraId="0EA825C3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InquiryQueueable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Queueable Apex class for asynchronous inquiry processing tasks.</w:t>
      </w:r>
    </w:p>
    <w:p w14:paraId="6F99F1FE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InquiryAsync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Async class handling email confirmations sent asynchronously.</w:t>
      </w:r>
    </w:p>
    <w:p w14:paraId="3DB667FE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18"/>
          <w:rFonts w:hint="default" w:asciiTheme="minorAscii" w:hAnsiTheme="minorAscii"/>
          <w:sz w:val="24"/>
          <w:szCs w:val="24"/>
        </w:rPr>
        <w:t>InquiryScheduler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Scheduled Apex class that triggers periodic batch or queueable jobs.</w:t>
      </w:r>
    </w:p>
    <w:p w14:paraId="799DDD0B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/>
          <w:bCs/>
          <w:color w:val="auto"/>
          <w:sz w:val="24"/>
          <w:szCs w:val="24"/>
        </w:rPr>
      </w:pPr>
      <w:r>
        <w:rPr>
          <w:rFonts w:hint="default" w:asciiTheme="minorAscii" w:hAnsiTheme="minorAscii"/>
          <w:b/>
          <w:bCs/>
          <w:color w:val="auto"/>
          <w:sz w:val="24"/>
          <w:szCs w:val="24"/>
        </w:rPr>
        <w:t>Testing Overview</w:t>
      </w:r>
    </w:p>
    <w:p w14:paraId="605C06E0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Testing covers all classes with focus on:</w:t>
      </w:r>
    </w:p>
    <w:p w14:paraId="779CCBC0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Validations of core functionality, including status changes and automated assignments.</w:t>
      </w:r>
    </w:p>
    <w:p w14:paraId="7AEA2AB0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Bulk processing scenarios for batch and trigger logic.</w:t>
      </w:r>
    </w:p>
    <w:p w14:paraId="661C3A7E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Asynchronous operations including queueable, async, and scheduler executions.</w:t>
      </w:r>
    </w:p>
    <w:p w14:paraId="7F7D9504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Edge cases, error handling, and null/empty input scenarios.</w:t>
      </w:r>
    </w:p>
    <w:p w14:paraId="1D7F0792">
      <w:pPr>
        <w:spacing w:line="360" w:lineRule="auto"/>
        <w:jc w:val="both"/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504815" cy="2567305"/>
            <wp:effectExtent l="0" t="0" r="0" b="0"/>
            <wp:docPr id="5" name="Picture 5" descr="Screenshot (4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67)"/>
                    <pic:cNvPicPr>
                      <a:picLocks noChangeAspect="1"/>
                    </pic:cNvPicPr>
                  </pic:nvPicPr>
                  <pic:blipFill>
                    <a:blip r:embed="rId12"/>
                    <a:srcRect l="1037" t="9515" r="2340" b="9986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567305"/>
                    </a:xfrm>
                    <a:prstGeom prst="rect">
                      <a:avLst/>
                    </a:prstGeom>
                    <a:ln w="12700" cmpd="dbl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586272">
      <w:pPr>
        <w:spacing w:line="360" w:lineRule="auto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723890" cy="2762885"/>
            <wp:effectExtent l="12700" t="12700" r="24130" b="13335"/>
            <wp:docPr id="6" name="Picture 6" descr="Screenshot (4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469)"/>
                    <pic:cNvPicPr>
                      <a:picLocks noChangeAspect="1"/>
                    </pic:cNvPicPr>
                  </pic:nvPicPr>
                  <pic:blipFill>
                    <a:blip r:embed="rId13"/>
                    <a:srcRect l="200" t="6868" r="-200" b="756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62885"/>
                    </a:xfrm>
                    <a:prstGeom prst="rect">
                      <a:avLst/>
                    </a:prstGeom>
                    <a:ln w="12700" cmpd="dbl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DAD12A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Phase 6: User Interface Development</w:t>
      </w:r>
    </w:p>
    <w:p w14:paraId="3619A59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/>
          <w:bCs/>
          <w:color w:val="auto"/>
          <w:sz w:val="24"/>
          <w:szCs w:val="24"/>
        </w:rPr>
      </w:pPr>
      <w:r>
        <w:rPr>
          <w:rFonts w:hint="default" w:asciiTheme="minorAscii" w:hAnsiTheme="minorAscii"/>
          <w:b/>
          <w:bCs/>
          <w:color w:val="auto"/>
          <w:sz w:val="24"/>
          <w:szCs w:val="24"/>
        </w:rPr>
        <w:t>Components Created and Used:</w:t>
      </w:r>
    </w:p>
    <w:p w14:paraId="464F34B1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color w:val="auto"/>
          <w:sz w:val="24"/>
          <w:szCs w:val="24"/>
        </w:rPr>
      </w:pPr>
      <w:r>
        <w:rPr>
          <w:rFonts w:hint="default" w:asciiTheme="minorAscii" w:hAnsiTheme="minorAscii"/>
          <w:color w:val="auto"/>
          <w:sz w:val="24"/>
          <w:szCs w:val="24"/>
        </w:rPr>
        <w:t>Customized the Inquiry record page layout.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Created Inquiry Custom Record Page with relevant information and system details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.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Organized sections into tabs for related inquiries, approval history, and campaign links.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 xml:space="preserve">Developed a custom LWC named </w:t>
      </w:r>
      <w:r>
        <w:rPr>
          <w:rStyle w:val="15"/>
          <w:rFonts w:hint="default" w:asciiTheme="minorAscii" w:hAnsiTheme="minorAscii"/>
          <w:color w:val="auto"/>
          <w:sz w:val="24"/>
          <w:szCs w:val="24"/>
        </w:rPr>
        <w:t>inquiryList</w:t>
      </w:r>
      <w:r>
        <w:rPr>
          <w:rFonts w:hint="default" w:asciiTheme="minorAscii" w:hAnsiTheme="minorAscii"/>
          <w:color w:val="auto"/>
          <w:sz w:val="24"/>
          <w:szCs w:val="24"/>
        </w:rPr>
        <w:t xml:space="preserve"> to display Inquiry records in a data table, integrated with Apex controller for dynamic data fetch.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 xml:space="preserve">Apex controller </w:t>
      </w:r>
      <w:r>
        <w:rPr>
          <w:rStyle w:val="15"/>
          <w:rFonts w:hint="default" w:asciiTheme="minorAscii" w:hAnsiTheme="minorAscii"/>
          <w:color w:val="auto"/>
          <w:sz w:val="24"/>
          <w:szCs w:val="24"/>
        </w:rPr>
        <w:t>InquiryController</w:t>
      </w:r>
      <w:r>
        <w:rPr>
          <w:rFonts w:hint="default" w:asciiTheme="minorAscii" w:hAnsiTheme="minorAscii"/>
          <w:color w:val="auto"/>
          <w:sz w:val="24"/>
          <w:szCs w:val="24"/>
        </w:rPr>
        <w:t xml:space="preserve"> created to provide server-side data for LWC.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Utilized wire service to fetch inquiry data reactively in LWC.</w:t>
      </w:r>
    </w:p>
    <w:p w14:paraId="696210BF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695315" cy="2769870"/>
            <wp:effectExtent l="0" t="0" r="0" b="0"/>
            <wp:docPr id="7" name="Picture 7" descr="Screenshot (4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472)"/>
                    <pic:cNvPicPr>
                      <a:picLocks noChangeAspect="1"/>
                    </pic:cNvPicPr>
                  </pic:nvPicPr>
                  <pic:blipFill>
                    <a:blip r:embed="rId14"/>
                    <a:srcRect t="8874" r="499" b="5107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2642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701030" cy="2758440"/>
            <wp:effectExtent l="0" t="0" r="0" b="0"/>
            <wp:docPr id="8" name="Picture 8" descr="Screenshot (4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73)"/>
                    <pic:cNvPicPr>
                      <a:picLocks noChangeAspect="1"/>
                    </pic:cNvPicPr>
                  </pic:nvPicPr>
                  <pic:blipFill>
                    <a:blip r:embed="rId15"/>
                    <a:srcRect t="9012" r="399" b="5324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8A3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Phase 7: Integration &amp; External Access</w:t>
      </w:r>
    </w:p>
    <w:p w14:paraId="6AE3C76E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 this phase, the key administrative configurations were established to enable automated email confirmations and ensure secure system communication. The main activities included:</w:t>
      </w:r>
    </w:p>
    <w:p w14:paraId="1DAF9D9A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Configured an Organization-Wide Email Address to be used as the "From" address for system-generated emails.</w:t>
      </w:r>
    </w:p>
    <w:p w14:paraId="759BAFE9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Updated existing Email Alerts to use the new Organization-Wide Email Address as the sender.</w:t>
      </w:r>
    </w:p>
    <w:p w14:paraId="39ED0E15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Reviewed and verified the configuration of Record-Triggered Flows to ensure the Email Alert action triggers correctly after Attendee or Event record creation.</w:t>
      </w:r>
    </w:p>
    <w:p w14:paraId="22832687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Performed end-to-end testing by creating new Event and Attendee records, verifying that confirmation emails are sent successfully.</w:t>
      </w:r>
    </w:p>
    <w:p w14:paraId="03BE6FF5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Confirmed emails are sent using the configured Organization-Wide Email Address and checked the accuracy and completeness of email content.</w:t>
      </w:r>
    </w:p>
    <w:p w14:paraId="394952C5">
      <w:pPr>
        <w:spacing w:line="360" w:lineRule="auto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725795" cy="1975485"/>
            <wp:effectExtent l="0" t="0" r="4445" b="5715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rcRect l="13231" t="8565" b="3003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1DF5">
      <w:pPr>
        <w:spacing w:line="360" w:lineRule="auto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708015" cy="2463165"/>
            <wp:effectExtent l="0" t="0" r="6985" b="5715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rcRect l="13364" t="16044" b="8061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5D96">
      <w:pPr>
        <w:spacing w:line="360" w:lineRule="auto"/>
        <w:jc w:val="center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1999615" cy="3555365"/>
            <wp:effectExtent l="0" t="0" r="12065" b="1079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rcRect l="18645" t="3589" r="20611" b="11899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C456">
      <w:pPr>
        <w:spacing w:line="360" w:lineRule="auto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720080" cy="2704465"/>
            <wp:effectExtent l="0" t="0" r="10160" b="825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D15F">
      <w:pPr>
        <w:spacing w:line="360" w:lineRule="auto"/>
        <w:jc w:val="both"/>
        <w:rPr>
          <w:rFonts w:hint="default" w:asciiTheme="minorAscii" w:hAnsiTheme="minorAscii"/>
        </w:rPr>
      </w:pPr>
    </w:p>
    <w:p w14:paraId="6F424B65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Phase 8 - Data Management &amp; Deployment</w:t>
      </w:r>
    </w:p>
    <w:p w14:paraId="28AD2EC6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Data Import Wizard for easy data upload into Salesforce objects.</w:t>
      </w:r>
    </w:p>
    <w:p w14:paraId="427D35F6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Data Loader for large scale or complex data operations.</w:t>
      </w:r>
    </w:p>
    <w:p w14:paraId="2B3B7782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Duplicate Rules to prevent or alert on duplicate data records.</w:t>
      </w:r>
    </w:p>
    <w:p w14:paraId="18B32030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Data Export &amp; Backup for scheduled data preservation.</w:t>
      </w:r>
    </w:p>
    <w:p w14:paraId="55BE069F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Change Sets for deploying metadata changes between orgs.</w:t>
      </w:r>
    </w:p>
    <w:p w14:paraId="45352798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Unmanaged and Managed Packages for distributing and upgrading Salesforce apps.</w:t>
      </w:r>
    </w:p>
    <w:p w14:paraId="75585B67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ANT Migration Tool for scripted, automated deployment using XML metadata.</w:t>
      </w:r>
    </w:p>
    <w:p w14:paraId="6011B8DD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VS Code &amp; Salesforce DX (SFDX) for modern source-driven development and version control.</w:t>
      </w:r>
    </w:p>
    <w:p w14:paraId="7E8F8057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730240" cy="2433320"/>
            <wp:effectExtent l="0" t="0" r="0" b="508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79FF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728335" cy="2901315"/>
            <wp:effectExtent l="0" t="0" r="1905" b="952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FEA1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Phase 9 - Reporting, Dashboards &amp; Security Review</w:t>
      </w:r>
    </w:p>
    <w:p w14:paraId="0FD11B3B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Reports: Create Tabular, Summary, Matrix, and Joined reports.</w:t>
      </w:r>
    </w:p>
    <w:p w14:paraId="3E47113F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Report Types: Customizable templates defining reports’ data structure.</w:t>
      </w:r>
    </w:p>
    <w:p w14:paraId="2150F4D4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Dashboards: Interactive visuals displaying reports’ data.</w:t>
      </w:r>
    </w:p>
    <w:p w14:paraId="632CB9FC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Dynamic Dashboards: Personalized dashboards shown according to user permissions.</w:t>
      </w:r>
    </w:p>
    <w:p w14:paraId="2E37F06C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Sharing Settings: Record access controls like organization-wide defaults, sharing rules.</w:t>
      </w:r>
    </w:p>
    <w:p w14:paraId="787DFF7C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Field Level Security: Restriction on visibility and editing of individual fields.</w:t>
      </w:r>
    </w:p>
    <w:p w14:paraId="348501BB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Session Settings: Security controls including session timeouts.</w:t>
      </w:r>
    </w:p>
    <w:p w14:paraId="5B025E3F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900" w:leftChars="0" w:right="0" w:hanging="420" w:firstLineChars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Login IP Ranges: Restrict login access by IP addresses.</w:t>
      </w:r>
    </w:p>
    <w:p w14:paraId="6A668A55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Theme="minorAscii" w:hAnsiTheme="minorAscii"/>
        </w:rPr>
      </w:pPr>
      <w:r>
        <w:drawing>
          <wp:inline distT="0" distB="0" distL="114300" distR="114300">
            <wp:extent cx="5720715" cy="3217545"/>
            <wp:effectExtent l="0" t="0" r="9525" b="1333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C27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right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723890" cy="2828925"/>
            <wp:effectExtent l="0" t="0" r="6350" b="571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96ED">
      <w:pPr>
        <w:spacing w:line="360" w:lineRule="auto"/>
        <w:jc w:val="both"/>
        <w:rPr>
          <w:rFonts w:hint="default" w:asciiTheme="minorAscii" w:hAnsiTheme="minorAscii"/>
          <w:lang w:val="en-US"/>
        </w:rPr>
      </w:pPr>
    </w:p>
    <w:p w14:paraId="03950393">
      <w:pPr>
        <w:spacing w:line="360" w:lineRule="auto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spacing w:val="2"/>
          <w:sz w:val="32"/>
          <w:szCs w:val="32"/>
        </w:rPr>
        <w:t>Phase 10: Final Presentation &amp; Demo Day</w:t>
      </w: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spacing w:val="2"/>
          <w:sz w:val="32"/>
          <w:szCs w:val="32"/>
          <w:bdr w:val="single" w:color="auto" w:sz="2" w:space="0"/>
        </w:rPr>
        <w:br w:type="textWrapping"/>
      </w:r>
      <w:r>
        <w:rPr>
          <w:rFonts w:hint="default" w:eastAsia="Segoe UI" w:cs="Segoe UI" w:asciiTheme="minorAscii" w:hAnsiTheme="minorAscii"/>
          <w:i w:val="0"/>
          <w:iCs w:val="0"/>
          <w:caps w:val="0"/>
          <w:spacing w:val="2"/>
          <w:sz w:val="24"/>
          <w:szCs w:val="24"/>
        </w:rPr>
        <w:t>Deliver a concise project pitch and live demo. Collect stakeholder feedback, provide thorough handoff documentation, and showcase the project professionally on LinkedIn or portfolio for career visibility.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990CF1"/>
    <w:multiLevelType w:val="singleLevel"/>
    <w:tmpl w:val="C5990C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157B524A"/>
    <w:multiLevelType w:val="multilevel"/>
    <w:tmpl w:val="157B5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DA4F6C"/>
    <w:multiLevelType w:val="singleLevel"/>
    <w:tmpl w:val="4FDA4F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  <w:sz w:val="10"/>
        <w:szCs w:val="1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A57"/>
    <w:rsid w:val="00157D3D"/>
    <w:rsid w:val="002E0CB1"/>
    <w:rsid w:val="003D2D25"/>
    <w:rsid w:val="00922A57"/>
    <w:rsid w:val="00A724D5"/>
    <w:rsid w:val="00D2738D"/>
    <w:rsid w:val="00FC7179"/>
    <w:rsid w:val="08EE7BD6"/>
    <w:rsid w:val="13910110"/>
    <w:rsid w:val="189E782D"/>
    <w:rsid w:val="1A5472E1"/>
    <w:rsid w:val="1F7D7156"/>
    <w:rsid w:val="21DC1538"/>
    <w:rsid w:val="27E92A9C"/>
    <w:rsid w:val="2F8F7C39"/>
    <w:rsid w:val="3D0F3EBA"/>
    <w:rsid w:val="445676AA"/>
    <w:rsid w:val="45F422B2"/>
    <w:rsid w:val="48305A87"/>
    <w:rsid w:val="6539613E"/>
    <w:rsid w:val="6AE13567"/>
    <w:rsid w:val="7755080A"/>
    <w:rsid w:val="7880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199</Words>
  <Characters>1139</Characters>
  <Lines>9</Lines>
  <Paragraphs>2</Paragraphs>
  <TotalTime>27</TotalTime>
  <ScaleCrop>false</ScaleCrop>
  <LinksUpToDate>false</LinksUpToDate>
  <CharactersWithSpaces>1336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2025-09-11T00:49:00Z</dcterms:created>
  <dc:creator>. bhavaniyannam443@gmail.com</dc:creator>
  <cp:lastModifiedBy>Bhavani Yannam</cp:lastModifiedBy>
  <dcterms:modified xsi:type="dcterms:W3CDTF">2025-09-27T23:55:00Z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1A76EE63515A4FADB4F8CC49D6B60FA9_13</vt:lpwstr>
  </property>
</Properties>
</file>