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52" w:lineRule="auto"/>
        <w:jc w:val="center"/>
      </w:pPr>
      <w:r>
        <w:t>Data Quality Report — Collections Analytics</w:t>
      </w:r>
    </w:p>
    <w:p>
      <w:pPr>
        <w:spacing w:after="80" w:line="252" w:lineRule="auto"/>
        <w:jc w:val="center"/>
      </w:pPr>
      <w:r>
        <w:rPr>
          <w:rFonts w:ascii="Arial" w:hAnsi="Arial"/>
          <w:i/>
          <w:sz w:val="20"/>
        </w:rPr>
        <w:t>Dataset: collections_30k_dataset</w:t>
        <w:br/>
        <w:t>Purpose: Build a reliable dataset before measuring recovery performance</w:t>
      </w:r>
    </w:p>
    <w:p>
      <w:pPr>
        <w:pStyle w:val="Heading1"/>
        <w:spacing w:after="80" w:line="252" w:lineRule="auto"/>
      </w:pPr>
      <w:r>
        <w:t>1. What we checked</w:t>
      </w:r>
    </w:p>
    <w:p>
      <w:pPr>
        <w:spacing w:after="80" w:line="252" w:lineRule="auto"/>
      </w:pPr>
      <w:r>
        <w:t>The raw data came from multiple systems, so we first checked for:</w:t>
      </w:r>
    </w:p>
    <w:p>
      <w:pPr>
        <w:pStyle w:val="ListBullet"/>
        <w:spacing w:after="80" w:line="252" w:lineRule="auto"/>
      </w:pPr>
      <w:r>
        <w:t>duplicate records</w:t>
      </w:r>
    </w:p>
    <w:p>
      <w:pPr>
        <w:pStyle w:val="ListBullet"/>
        <w:spacing w:after="80" w:line="252" w:lineRule="auto"/>
      </w:pPr>
      <w:r>
        <w:t>wrong or inconsistent IDs</w:t>
      </w:r>
    </w:p>
    <w:p>
      <w:pPr>
        <w:pStyle w:val="ListBullet"/>
        <w:spacing w:after="80" w:line="252" w:lineRule="auto"/>
      </w:pPr>
      <w:r>
        <w:t>timezone issues</w:t>
      </w:r>
    </w:p>
    <w:p>
      <w:pPr>
        <w:pStyle w:val="ListBullet"/>
        <w:spacing w:after="80" w:line="252" w:lineRule="auto"/>
      </w:pPr>
      <w:r>
        <w:t>payment duplication</w:t>
      </w:r>
    </w:p>
    <w:p>
      <w:pPr>
        <w:pStyle w:val="ListBullet"/>
        <w:spacing w:after="80" w:line="252" w:lineRule="auto"/>
      </w:pPr>
      <w:r>
        <w:t>unreliable campaign and agent mapping</w:t>
      </w:r>
    </w:p>
    <w:p>
      <w:pPr>
        <w:pStyle w:val="ListBullet"/>
        <w:spacing w:after="80" w:line="252" w:lineRule="auto"/>
      </w:pPr>
      <w:r>
        <w:t>incorrect metric denominators</w:t>
      </w:r>
    </w:p>
    <w:p>
      <w:pPr>
        <w:pStyle w:val="ListBullet"/>
        <w:spacing w:after="80" w:line="252" w:lineRule="auto"/>
      </w:pPr>
      <w:r>
        <w:t>missing fields</w:t>
      </w:r>
    </w:p>
    <w:p>
      <w:pPr>
        <w:spacing w:after="80" w:line="252" w:lineRule="auto"/>
      </w:pPr>
      <w:r>
        <w:rPr>
          <w:b/>
        </w:rPr>
        <w:t xml:space="preserve">The goal was to create a Golden Dataset: </w:t>
      </w:r>
      <w:r>
        <w:t>a cleaned and trusted version of the data that can be used for all recovery analysis.</w:t>
      </w:r>
    </w:p>
    <w:p>
      <w:pPr>
        <w:pStyle w:val="Heading1"/>
        <w:spacing w:after="80" w:line="252" w:lineRule="auto"/>
      </w:pPr>
      <w:r>
        <w:t>2. Raw data to Golden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08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Table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Raw Rows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Final Rows</w:t>
            </w:r>
          </w:p>
        </w:tc>
        <w:tc>
          <w:tcPr>
            <w:tcW w:type="dxa" w:w="540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What we changed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borrowers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30,600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11,015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Kept one latest record per borrower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accounts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30,000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30,000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 duplicate account IDs found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agents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30,000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1,000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Kept one resolved record per agent ID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calls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91,350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90,079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Removed 1,271 exact duplicate rows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call_attempts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120,000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120,000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 duplicate rows found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call_dispositions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35,000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35,000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Standardized disposition codes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payments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25,500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25,000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Removed 500 duplicate payment IDs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promises_to_pay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18,000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18,000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 duplicate rows found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field_visits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25,000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25,000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 duplicate rows found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whatsapp_events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60,600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60,000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Removed 600 exact duplicate rows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sms_events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45,000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45,000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 duplicate rows found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complaints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8,000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8,000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 duplicate rows found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account_status_history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60,000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60,000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Kept rows, but borrower ID is not trusted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daily_targeting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45,000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45,000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 duplicate rows found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campaigns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120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Used campaign_id as the reliable campaign key</w:t>
            </w:r>
          </w:p>
        </w:tc>
      </w:tr>
    </w:tbl>
    <w:p>
      <w:pPr>
        <w:spacing w:after="80" w:line="252" w:lineRule="auto"/>
      </w:pPr>
      <w:r>
        <w:rPr>
          <w:b/>
        </w:rPr>
        <w:t xml:space="preserve">Important: </w:t>
      </w:r>
      <w:r>
        <w:t>All fact tables had valid account_id values, so no rows were removed because of missing accounts.</w:t>
      </w:r>
    </w:p>
    <w:p>
      <w:pPr>
        <w:pStyle w:val="Heading1"/>
        <w:spacing w:after="80" w:line="252" w:lineRule="auto"/>
      </w:pPr>
      <w:r>
        <w:t>3. Main source-of-truth decisions</w:t>
      </w:r>
    </w:p>
    <w:p>
      <w:pPr>
        <w:pStyle w:val="Heading2"/>
        <w:spacing w:after="80" w:line="252" w:lineRule="auto"/>
      </w:pPr>
      <w:r>
        <w:t>Account and borrower</w:t>
      </w:r>
    </w:p>
    <w:p>
      <w:pPr>
        <w:spacing w:after="80" w:line="252" w:lineRule="auto"/>
      </w:pPr>
      <w:r>
        <w:t>We use account_id as the main business key.</w:t>
      </w:r>
    </w:p>
    <w:p>
      <w:pPr>
        <w:spacing w:after="80" w:line="252" w:lineRule="auto"/>
      </w:pPr>
      <w:r>
        <w:t>The borrower ID stored inside many event tables is unreliable. For example, the borrower ID in the calls table disagrees with the account master in about 98.4% of call records.</w:t>
      </w:r>
    </w:p>
    <w:p>
      <w:pPr>
        <w:spacing w:after="80" w:line="252" w:lineRule="auto"/>
      </w:pPr>
      <w:r>
        <w:t>So we do not trust event-level borrower IDs. Instead, we use: account_id → accounts table → borrower_id.</w:t>
      </w:r>
    </w:p>
    <w:p>
      <w:pPr>
        <w:spacing w:after="80" w:line="252" w:lineRule="auto"/>
      </w:pPr>
      <w:r>
        <w:t>This gives one consistent borrower mapping.</w:t>
      </w:r>
    </w:p>
    <w:p>
      <w:pPr>
        <w:pStyle w:val="Heading2"/>
        <w:spacing w:after="80" w:line="252" w:lineRule="auto"/>
      </w:pPr>
      <w:r>
        <w:t>Agent</w:t>
      </w:r>
    </w:p>
    <w:p>
      <w:pPr>
        <w:spacing w:after="80" w:line="252" w:lineRule="auto"/>
      </w:pPr>
      <w:r>
        <w:t>agent_id is the most reliable agent key.</w:t>
      </w:r>
    </w:p>
    <w:p>
      <w:pPr>
        <w:spacing w:after="80" w:line="252" w:lineRule="auto"/>
      </w:pPr>
      <w:r>
        <w:t>The raw agents table contains many records for the same agent, so agent name, team, vendor and status should not be treated as perfectly reliable historical fields.</w:t>
      </w:r>
    </w:p>
    <w:p>
      <w:pPr>
        <w:spacing w:after="80" w:line="252" w:lineRule="auto"/>
      </w:pPr>
      <w:r>
        <w:t>Agent tenure is especially uncertain because joined_at is inconsistent.</w:t>
      </w:r>
    </w:p>
    <w:p>
      <w:pPr>
        <w:pStyle w:val="Heading2"/>
        <w:spacing w:after="80" w:line="252" w:lineRule="auto"/>
      </w:pPr>
      <w:r>
        <w:t>Campaign</w:t>
      </w:r>
    </w:p>
    <w:p>
      <w:pPr>
        <w:spacing w:after="80" w:line="252" w:lineRule="auto"/>
      </w:pPr>
      <w:r>
        <w:t>We use campaign_id, not campaign_name.</w:t>
      </w:r>
    </w:p>
    <w:p>
      <w:pPr>
        <w:spacing w:after="80" w:line="252" w:lineRule="auto"/>
      </w:pPr>
      <w:r>
        <w:t>The same campaign name can represent different targeting rules, so grouping only by campaign name could mix different strategies together.</w:t>
      </w:r>
    </w:p>
    <w:p>
      <w:pPr>
        <w:pStyle w:val="Heading2"/>
        <w:spacing w:after="80" w:line="252" w:lineRule="auto"/>
      </w:pPr>
      <w:r>
        <w:t>Payments</w:t>
      </w:r>
    </w:p>
    <w:p>
      <w:pPr>
        <w:spacing w:after="80" w:line="252" w:lineRule="auto"/>
      </w:pPr>
      <w:r>
        <w:t>One payment is defined by one unique payment_id.</w:t>
      </w:r>
    </w:p>
    <w:p>
      <w:pPr>
        <w:spacing w:after="80" w:line="252" w:lineRule="auto"/>
      </w:pPr>
      <w:r>
        <w:t>We do not use payment_reference for deduplication because the same reference can appear across different genuine transactions.</w:t>
      </w:r>
    </w:p>
    <w:p>
      <w:pPr>
        <w:pStyle w:val="Heading1"/>
        <w:spacing w:after="80" w:line="252" w:lineRule="auto"/>
      </w:pPr>
      <w:r>
        <w:t>4. Important data-quality issues</w:t>
      </w:r>
    </w:p>
    <w:p>
      <w:pPr>
        <w:pStyle w:val="Heading2"/>
        <w:spacing w:after="80" w:line="252" w:lineRule="auto"/>
      </w:pPr>
      <w:r>
        <w:t>A. Duplicate payments</w:t>
      </w:r>
    </w:p>
    <w:p>
      <w:pPr>
        <w:spacing w:after="80" w:line="252" w:lineRule="auto"/>
      </w:pPr>
      <w:r>
        <w:t>There are 25,500 payment rows but only 25,000 unique payment IDs.</w:t>
      </w:r>
    </w:p>
    <w:p>
      <w:pPr>
        <w:spacing w:after="80" w:line="252" w:lineRule="auto"/>
      </w:pPr>
      <w:r>
        <w:t>So 500 payment rows are duplicates.</w:t>
      </w:r>
    </w:p>
    <w:p>
      <w:pPr>
        <w:spacing w:after="80" w:line="252" w:lineRule="auto"/>
      </w:pPr>
      <w:r>
        <w:t>If these duplicates are not removed, reported recovery is overstated by about ₹9.8M.</w:t>
      </w:r>
    </w:p>
    <w:p>
      <w:pPr>
        <w:spacing w:after="80" w:line="252" w:lineRule="auto"/>
      </w:pPr>
      <w:r>
        <w:t>We therefore keep only one record per payment_id.</w:t>
      </w:r>
    </w:p>
    <w:p>
      <w:pPr>
        <w:pStyle w:val="Heading2"/>
        <w:spacing w:after="80" w:line="252" w:lineRule="auto"/>
      </w:pPr>
      <w:r>
        <w:t>B. Payment attribution is weak</w:t>
      </w:r>
    </w:p>
    <w:p>
      <w:pPr>
        <w:spacing w:after="80" w:line="252" w:lineRule="auto"/>
      </w:pPr>
      <w:r>
        <w:t>Payments do not contain a campaign_id.</w:t>
      </w:r>
    </w:p>
    <w:p>
      <w:pPr>
        <w:spacing w:after="80" w:line="252" w:lineRule="auto"/>
      </w:pPr>
      <w:r>
        <w:t>This means we cannot directly say that a particular campaign or channel caused a payment.</w:t>
      </w:r>
    </w:p>
    <w:p>
      <w:pPr>
        <w:spacing w:after="80" w:line="252" w:lineRule="auto"/>
      </w:pPr>
      <w:r>
        <w:t>Only around 9% of successful payments have a call in the previous 7 days.</w:t>
      </w:r>
    </w:p>
    <w:p>
      <w:pPr>
        <w:spacing w:after="80" w:line="252" w:lineRule="auto"/>
      </w:pPr>
      <w:r>
        <w:t>So campaign-level or channel-level conversion should be treated as a hypothesis, not a confirmed fact.</w:t>
      </w:r>
    </w:p>
    <w:p>
      <w:pPr>
        <w:pStyle w:val="Heading2"/>
        <w:spacing w:after="80" w:line="252" w:lineRule="auto"/>
      </w:pPr>
      <w:r>
        <w:t>C. Timezone differences</w:t>
      </w:r>
    </w:p>
    <w:p>
      <w:pPr>
        <w:spacing w:after="80" w:line="252" w:lineRule="auto"/>
      </w:pPr>
      <w:r>
        <w:t>Call timestamps come from different timezones such as UTC, Asia/Kolkata and Asia/Dubai.</w:t>
      </w:r>
    </w:p>
    <w:p>
      <w:pPr>
        <w:spacing w:after="80" w:line="252" w:lineRule="auto"/>
      </w:pPr>
      <w:r>
        <w:t>If we use the raw timestamp directly, many calls are assigned to the wrong hour.</w:t>
      </w:r>
    </w:p>
    <w:p>
      <w:pPr>
        <w:spacing w:after="80" w:line="252" w:lineRule="auto"/>
      </w:pPr>
      <w:r>
        <w:t>After converting all timestamps to IST, around 66.6% of calls move to a different clock hour.</w:t>
      </w:r>
    </w:p>
    <w:p>
      <w:pPr>
        <w:spacing w:after="80" w:line="252" w:lineRule="auto"/>
      </w:pPr>
      <w:r>
        <w:t>Therefore, all time-based analysis uses corrected IST timestamps.</w:t>
      </w:r>
    </w:p>
    <w:p>
      <w:pPr>
        <w:pStyle w:val="Heading2"/>
        <w:spacing w:after="80" w:line="252" w:lineRule="auto"/>
      </w:pPr>
      <w:r>
        <w:t>D. Disposition codes</w:t>
      </w:r>
    </w:p>
    <w:p>
      <w:pPr>
        <w:spacing w:after="80" w:line="252" w:lineRule="auto"/>
      </w:pPr>
      <w:r>
        <w:t>The same outcome is sometimes stored using different codes, such as PTP and PROMISE_TO_PAY.</w:t>
      </w:r>
    </w:p>
    <w:p>
      <w:pPr>
        <w:spacing w:after="80" w:line="252" w:lineRule="auto"/>
      </w:pPr>
      <w:r>
        <w:t>We standardize these into one common value before calculating funnel metrics.</w:t>
      </w:r>
    </w:p>
    <w:p>
      <w:pPr>
        <w:pStyle w:val="Heading2"/>
        <w:spacing w:after="80" w:line="252" w:lineRule="auto"/>
      </w:pPr>
      <w:r>
        <w:t>E. Agent data</w:t>
      </w:r>
    </w:p>
    <w:p>
      <w:pPr>
        <w:spacing w:after="80" w:line="252" w:lineRule="auto"/>
      </w:pPr>
      <w:r>
        <w:t>The raw agents table has 30,000 rows for only 1,000 agent IDs.</w:t>
      </w:r>
    </w:p>
    <w:p>
      <w:pPr>
        <w:spacing w:after="80" w:line="252" w:lineRule="auto"/>
      </w:pPr>
      <w:r>
        <w:t>Because several agent attributes change across records, agent-level conclusions should be used carefully.</w:t>
      </w:r>
    </w:p>
    <w:p>
      <w:pPr>
        <w:spacing w:after="80" w:line="252" w:lineRule="auto"/>
      </w:pPr>
      <w:r>
        <w:t>Agent tenure is not reliable enough for a strong conclusion.</w:t>
      </w:r>
    </w:p>
    <w:p>
      <w:pPr>
        <w:pStyle w:val="Heading2"/>
        <w:spacing w:after="80" w:line="252" w:lineRule="auto"/>
      </w:pPr>
      <w:r>
        <w:t>F. Portfolio mix</w:t>
      </w:r>
    </w:p>
    <w:p>
      <w:pPr>
        <w:spacing w:after="80" w:line="252" w:lineRule="auto"/>
      </w:pPr>
      <w:r>
        <w:t>We checked loan type, risk segment and origination period.</w:t>
      </w:r>
    </w:p>
    <w:p>
      <w:pPr>
        <w:spacing w:after="80" w:line="252" w:lineRule="auto"/>
      </w:pPr>
      <w:r>
        <w:t>There is no strong evidence that the overall portfolio changed dramatically during the analysis period.</w:t>
      </w:r>
    </w:p>
    <w:p>
      <w:pPr>
        <w:pStyle w:val="Heading2"/>
        <w:spacing w:after="80" w:line="252" w:lineRule="auto"/>
      </w:pPr>
      <w:r>
        <w:t>G. Wrong denominator can create misleading rates</w:t>
      </w:r>
    </w:p>
    <w:p>
      <w:pPr>
        <w:spacing w:after="80" w:line="252" w:lineRule="auto"/>
      </w:pPr>
      <w:r>
        <w:t>This is one of the most important issues.</w:t>
      </w:r>
    </w:p>
    <w:p>
      <w:pPr>
        <w:spacing w:after="80" w:line="252" w:lineRule="auto"/>
      </w:pPr>
      <w:r>
        <w:t>If PTP rate is calculated using only contacted accounts as the denominator, the result becomes 100%–112%, which is not logically possible.</w:t>
      </w:r>
    </w:p>
    <w:p>
      <w:pPr>
        <w:spacing w:after="80" w:line="252" w:lineRule="auto"/>
      </w:pPr>
      <w:r>
        <w:t>Using the full targeted population gives a more reasonable rate of about 43%–46%.</w:t>
      </w:r>
    </w:p>
    <w:p>
      <w:pPr>
        <w:spacing w:after="80" w:line="252" w:lineRule="auto"/>
      </w:pPr>
      <w:r>
        <w:t>So our main metrics use the full targeted account population as the denominator wherever appropriate.</w:t>
      </w:r>
    </w:p>
    <w:p>
      <w:pPr>
        <w:pStyle w:val="Heading1"/>
        <w:spacing w:after="80" w:line="252" w:lineRule="auto"/>
      </w:pPr>
      <w:r>
        <w:t>5. Areas where we did not find a major difference</w:t>
      </w:r>
    </w:p>
    <w:p>
      <w:pPr>
        <w:spacing w:after="80" w:line="252" w:lineRule="auto"/>
      </w:pPr>
      <w:r>
        <w:t>We also checked several possible performance drivers.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Area checked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Telephony vendor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Connect rate roughly 19.3%–21.1%; no clear winner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Calling hour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Connect rate roughly 18.9%–21.4%; no strong best hour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Attempt number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Connect rate roughly 19.4%–20.6%; mostly flat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Geography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Recovery rate roughly 43.2%–45.8%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DPD bucket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 major difference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Risk segment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 major difference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Loan type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8"/>
              </w:rPr>
              <w:t>No major difference</w:t>
            </w:r>
          </w:p>
        </w:tc>
      </w:tr>
    </w:tbl>
    <w:p>
      <w:pPr>
        <w:spacing w:after="80" w:line="252" w:lineRule="auto"/>
      </w:pPr>
      <w:r>
        <w:t>These results suggest that no single operational segment clearly explains the recovery movement.</w:t>
      </w:r>
    </w:p>
    <w:p>
      <w:pPr>
        <w:pStyle w:val="Heading1"/>
        <w:spacing w:after="80" w:line="252" w:lineRule="auto"/>
      </w:pPr>
      <w:r>
        <w:t>6. Data we could not analyse properly</w:t>
      </w:r>
    </w:p>
    <w:p>
      <w:pPr>
        <w:spacing w:after="80" w:line="252" w:lineRule="auto"/>
      </w:pPr>
      <w:r>
        <w:t>The assignment asks us to analyse Client and Language, but these fields do not exist in the available data.</w:t>
      </w:r>
    </w:p>
    <w:p>
      <w:pPr>
        <w:spacing w:after="80" w:line="252" w:lineRule="auto"/>
      </w:pPr>
      <w:r>
        <w:t>So these areas are marked as data gaps rather than saying they have no impact.</w:t>
      </w:r>
    </w:p>
    <w:p>
      <w:pPr>
        <w:pStyle w:val="Heading1"/>
        <w:spacing w:after="80" w:line="252" w:lineRule="auto"/>
      </w:pPr>
      <w:r>
        <w:t>7. Missing values</w:t>
      </w:r>
    </w:p>
    <w:p>
      <w:pPr>
        <w:spacing w:after="80" w:line="252" w:lineRule="auto"/>
      </w:pPr>
      <w:r>
        <w:t>No important null values were found in the main account and payment key fields.</w:t>
      </w:r>
    </w:p>
    <w:p>
      <w:pPr>
        <w:spacing w:after="80" w:line="252" w:lineRule="auto"/>
      </w:pPr>
      <w:r>
        <w:t>payment_reference is missing for some rows, but we leave it missing because it is not required for payment deduplication.</w:t>
      </w:r>
    </w:p>
    <w:p>
      <w:pPr>
        <w:spacing w:after="80" w:line="252" w:lineRule="auto"/>
      </w:pPr>
      <w:r>
        <w:t>Missing geography values are also left as null rather than guessing or filling them artificially.</w:t>
      </w:r>
    </w:p>
    <w:p>
      <w:pPr>
        <w:pStyle w:val="Heading1"/>
        <w:spacing w:after="80" w:line="252" w:lineRule="auto"/>
      </w:pPr>
      <w:r>
        <w:t>8. Final cleaning rules used</w:t>
      </w:r>
    </w:p>
    <w:p>
      <w:pPr>
        <w:pStyle w:val="ListNumber"/>
        <w:spacing w:after="80" w:line="252" w:lineRule="auto"/>
      </w:pPr>
      <w:r>
        <w:t>Use account_id as the main account key.</w:t>
      </w:r>
    </w:p>
    <w:p>
      <w:pPr>
        <w:pStyle w:val="ListNumber"/>
        <w:spacing w:after="80" w:line="252" w:lineRule="auto"/>
      </w:pPr>
      <w:r>
        <w:t>Rebuild borrower mapping from the accounts table.</w:t>
      </w:r>
    </w:p>
    <w:p>
      <w:pPr>
        <w:pStyle w:val="ListNumber"/>
        <w:spacing w:after="80" w:line="252" w:lineRule="auto"/>
      </w:pPr>
      <w:r>
        <w:t>Remove exact duplicate rows.</w:t>
      </w:r>
    </w:p>
    <w:p>
      <w:pPr>
        <w:pStyle w:val="ListNumber"/>
        <w:spacing w:after="80" w:line="252" w:lineRule="auto"/>
      </w:pPr>
      <w:r>
        <w:t>Keep one payment per payment_id.</w:t>
      </w:r>
    </w:p>
    <w:p>
      <w:pPr>
        <w:pStyle w:val="ListNumber"/>
        <w:spacing w:after="80" w:line="252" w:lineRule="auto"/>
      </w:pPr>
      <w:r>
        <w:t>Standardize timestamps to IST.</w:t>
      </w:r>
    </w:p>
    <w:p>
      <w:pPr>
        <w:pStyle w:val="ListNumber"/>
        <w:spacing w:after="80" w:line="252" w:lineRule="auto"/>
      </w:pPr>
      <w:r>
        <w:t>Standardize disposition codes.</w:t>
      </w:r>
    </w:p>
    <w:p>
      <w:pPr>
        <w:pStyle w:val="ListNumber"/>
        <w:spacing w:after="80" w:line="252" w:lineRule="auto"/>
      </w:pPr>
      <w:r>
        <w:t>Use campaign_id instead of campaign name.</w:t>
      </w:r>
    </w:p>
    <w:p>
      <w:pPr>
        <w:pStyle w:val="ListNumber"/>
        <w:spacing w:after="80" w:line="252" w:lineRule="auto"/>
      </w:pPr>
      <w:r>
        <w:t>Keep failed, pending and reversed payments for analysis, but exclude them from recovered amount.</w:t>
      </w:r>
    </w:p>
    <w:p>
      <w:pPr>
        <w:pStyle w:val="ListNumber"/>
        <w:spacing w:after="80" w:line="252" w:lineRule="auto"/>
      </w:pPr>
      <w:r>
        <w:t>Use the full targeted population for denominator-based KPIs.</w:t>
      </w:r>
    </w:p>
    <w:p>
      <w:pPr>
        <w:pStyle w:val="ListNumber"/>
        <w:spacing w:after="80" w:line="252" w:lineRule="auto"/>
      </w:pPr>
      <w:r>
        <w:t>Clearly flag fields or metrics that cannot be trusted.</w:t>
      </w:r>
    </w:p>
    <w:p>
      <w:pPr>
        <w:pStyle w:val="Heading1"/>
        <w:spacing w:after="80" w:line="252" w:lineRule="auto"/>
      </w:pPr>
      <w:r>
        <w:t>9. Why this matters for the 11% recovery claim</w:t>
      </w:r>
    </w:p>
    <w:p>
      <w:pPr>
        <w:spacing w:after="80" w:line="252" w:lineRule="auto"/>
      </w:pPr>
      <w:r>
        <w:t>The main lesson from the data-quality review is that the reported recovery improvement cannot be accepted directly from raw data.</w:t>
      </w:r>
    </w:p>
    <w:p>
      <w:pPr>
        <w:spacing w:after="80" w:line="252" w:lineRule="auto"/>
      </w:pPr>
      <w:r>
        <w:t>Duplicate payments can increase the recovery amount, different denominators can change conversion rates, and attribution between campaigns and payments is weak.</w:t>
      </w:r>
    </w:p>
    <w:p>
      <w:pPr>
        <w:spacing w:after="80" w:line="252" w:lineRule="auto"/>
      </w:pPr>
      <w:r>
        <w:t>For this reason, the 11% claim should only be evaluated after using the cleaned Golden Dataset and clearly defined recovery metrics.</w:t>
      </w:r>
    </w:p>
    <w:p>
      <w:pPr>
        <w:pStyle w:val="Heading1"/>
        <w:spacing w:after="80" w:line="252" w:lineRule="auto"/>
      </w:pPr>
      <w:r>
        <w:t>10. Final conclusion</w:t>
      </w:r>
    </w:p>
    <w:p>
      <w:pPr>
        <w:spacing w:after="80" w:line="252" w:lineRule="auto"/>
      </w:pPr>
      <w:r>
        <w:t>The raw data is usable, but not reliable enough for direct reporting.</w:t>
      </w:r>
    </w:p>
    <w:p>
      <w:pPr>
        <w:spacing w:after="80" w:line="252" w:lineRule="auto"/>
      </w:pPr>
      <w:r>
        <w:t>The biggest issues are:</w:t>
      </w:r>
    </w:p>
    <w:p>
      <w:pPr>
        <w:pStyle w:val="ListBullet"/>
        <w:spacing w:after="80" w:line="252" w:lineRule="auto"/>
      </w:pPr>
      <w:r>
        <w:t>duplicate payments</w:t>
      </w:r>
    </w:p>
    <w:p>
      <w:pPr>
        <w:pStyle w:val="ListBullet"/>
        <w:spacing w:after="80" w:line="252" w:lineRule="auto"/>
      </w:pPr>
      <w:r>
        <w:t>incorrect borrower IDs in event tables</w:t>
      </w:r>
    </w:p>
    <w:p>
      <w:pPr>
        <w:pStyle w:val="ListBullet"/>
        <w:spacing w:after="80" w:line="252" w:lineRule="auto"/>
      </w:pPr>
      <w:r>
        <w:t>inconsistent agent records</w:t>
      </w:r>
    </w:p>
    <w:p>
      <w:pPr>
        <w:pStyle w:val="ListBullet"/>
        <w:spacing w:after="80" w:line="252" w:lineRule="auto"/>
      </w:pPr>
      <w:r>
        <w:t>timezone differences</w:t>
      </w:r>
    </w:p>
    <w:p>
      <w:pPr>
        <w:pStyle w:val="ListBullet"/>
        <w:spacing w:after="80" w:line="252" w:lineRule="auto"/>
      </w:pPr>
      <w:r>
        <w:t>weak campaign/payment attribution</w:t>
      </w:r>
    </w:p>
    <w:p>
      <w:pPr>
        <w:pStyle w:val="ListBullet"/>
        <w:spacing w:after="80" w:line="252" w:lineRule="auto"/>
      </w:pPr>
      <w:r>
        <w:t>misleading denominator choices</w:t>
      </w:r>
    </w:p>
    <w:p>
      <w:pPr>
        <w:spacing w:after="80" w:line="252" w:lineRule="auto"/>
      </w:pPr>
      <w:r>
        <w:t>After correcting these issues, the Golden Dataset provides a much safer base for analysing recovery performance and making the ₹10 Cr investment recommendation.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Collections Analytics — Data Quality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