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i w:val="0"/>
          <w:color w:val="0F172A"/>
          <w:sz w:val="40"/>
        </w:rPr>
        <w:t>Security &amp; Privacy Risk Remediation Action Plan</w:t>
      </w:r>
    </w:p>
    <w:tbl>
      <w:tblPr>
        <w:tblW w:type="auto" w:w="0"/>
        <w:jc w:val="center"/>
        <w:tblLayout w:type="fixed"/>
        <w:tblLook w:firstColumn="1" w:firstRow="1" w:lastColumn="0" w:lastRow="0" w:noHBand="0" w:noVBand="1" w:val="04A0"/>
      </w:tblPr>
      <w:tblGrid>
        <w:gridCol w:w="5040"/>
        <w:gridCol w:w="5040"/>
      </w:tblGrid>
      <w:tr>
        <w:tc>
          <w:tcPr>
            <w:tcW w:type="dxa" w:w="5040"/>
            <w:shd w:fill="F1F5F9"/>
            <w:tcMar>
              <w:top w:w="80" w:type="dxa"/>
              <w:bottom w:w="80" w:type="dxa"/>
              <w:left w:w="140" w:type="dxa"/>
              <w:right w:w="140" w:type="dxa"/>
            </w:tcMar>
            <w:tcBorders>
              <w:top w:val="none"/>
              <w:bottom w:val="none"/>
              <w:left w:val="none"/>
              <w:right w:val="none"/>
            </w:tcBorders>
          </w:tcPr>
          <w:p>
            <w:pPr>
              <w:spacing w:before="0" w:after="0"/>
            </w:pPr>
            <w:r>
              <w:rPr>
                <w:rFonts w:ascii="Segoe UI" w:hAnsi="Segoe UI"/>
                <w:b/>
                <w:i w:val="0"/>
                <w:color w:val="475569"/>
                <w:sz w:val="17"/>
              </w:rPr>
              <w:t>Target Asset:</w:t>
            </w:r>
            <w:r>
              <w:rPr>
                <w:rFonts w:ascii="Segoe UI" w:hAnsi="Segoe UI"/>
                <w:b w:val="0"/>
                <w:i w:val="0"/>
                <w:color w:val="1E293B"/>
                <w:sz w:val="17"/>
              </w:rPr>
              <w:t xml:space="preserve"> qhotels.co &amp; associated infrastructure</w:t>
            </w:r>
          </w:p>
        </w:tc>
        <w:tc>
          <w:tcPr>
            <w:tcW w:type="dxa" w:w="5040"/>
            <w:shd w:fill="F1F5F9"/>
            <w:tcMar>
              <w:top w:w="80" w:type="dxa"/>
              <w:bottom w:w="80" w:type="dxa"/>
              <w:left w:w="140" w:type="dxa"/>
              <w:right w:w="140" w:type="dxa"/>
            </w:tcMar>
            <w:tcBorders>
              <w:top w:val="none"/>
              <w:bottom w:val="none"/>
              <w:left w:val="none"/>
              <w:right w:val="none"/>
            </w:tcBorders>
          </w:tcPr>
          <w:p>
            <w:pPr>
              <w:spacing w:before="0" w:after="0"/>
            </w:pPr>
            <w:r>
              <w:rPr>
                <w:rFonts w:ascii="Segoe UI" w:hAnsi="Segoe UI"/>
                <w:b/>
                <w:i w:val="0"/>
                <w:color w:val="475569"/>
                <w:sz w:val="17"/>
              </w:rPr>
              <w:t>Source Assessment:</w:t>
            </w:r>
            <w:r>
              <w:rPr>
                <w:rFonts w:ascii="Segoe UI" w:hAnsi="Segoe UI"/>
                <w:b w:val="0"/>
                <w:i w:val="0"/>
                <w:color w:val="1E293B"/>
                <w:sz w:val="17"/>
              </w:rPr>
              <w:t xml:space="preserve"> risk_findings_2026-09-18_16-24-13.xlsx</w:t>
            </w:r>
          </w:p>
        </w:tc>
      </w:tr>
      <w:tr>
        <w:tc>
          <w:tcPr>
            <w:tcW w:type="dxa" w:w="5040"/>
            <w:shd w:fill="F1F5F9"/>
            <w:tcMar>
              <w:top w:w="80" w:type="dxa"/>
              <w:bottom w:w="80" w:type="dxa"/>
              <w:left w:w="140" w:type="dxa"/>
              <w:right w:w="140" w:type="dxa"/>
            </w:tcMar>
            <w:tcBorders>
              <w:top w:val="none"/>
              <w:bottom w:val="none"/>
              <w:left w:val="none"/>
              <w:right w:val="none"/>
            </w:tcBorders>
          </w:tcPr>
          <w:p>
            <w:pPr>
              <w:spacing w:before="0" w:after="0"/>
            </w:pPr>
            <w:r>
              <w:rPr>
                <w:rFonts w:ascii="Segoe UI" w:hAnsi="Segoe UI"/>
                <w:b/>
                <w:i w:val="0"/>
                <w:color w:val="475569"/>
                <w:sz w:val="17"/>
              </w:rPr>
              <w:t>Responsible Teams:</w:t>
            </w:r>
            <w:r>
              <w:rPr>
                <w:rFonts w:ascii="Segoe UI" w:hAnsi="Segoe UI"/>
                <w:b w:val="0"/>
                <w:i w:val="0"/>
                <w:color w:val="1E293B"/>
                <w:sz w:val="17"/>
              </w:rPr>
              <w:t xml:space="preserve"> DevOps, Web Developers, Legal/Compliance</w:t>
            </w:r>
          </w:p>
        </w:tc>
        <w:tc>
          <w:tcPr>
            <w:tcW w:type="dxa" w:w="5040"/>
            <w:shd w:fill="F1F5F9"/>
            <w:tcMar>
              <w:top w:w="80" w:type="dxa"/>
              <w:bottom w:w="80" w:type="dxa"/>
              <w:left w:w="140" w:type="dxa"/>
              <w:right w:w="140" w:type="dxa"/>
            </w:tcMar>
            <w:tcBorders>
              <w:top w:val="none"/>
              <w:bottom w:val="none"/>
              <w:left w:val="none"/>
              <w:right w:val="none"/>
            </w:tcBorders>
          </w:tcPr>
          <w:p>
            <w:pPr>
              <w:spacing w:before="0" w:after="0"/>
            </w:pPr>
            <w:r>
              <w:rPr>
                <w:rFonts w:ascii="Segoe UI" w:hAnsi="Segoe UI"/>
                <w:b/>
                <w:i w:val="0"/>
                <w:color w:val="475569"/>
                <w:sz w:val="17"/>
              </w:rPr>
              <w:t>Plan Status:</w:t>
            </w:r>
            <w:r>
              <w:rPr>
                <w:rFonts w:ascii="Segoe UI" w:hAnsi="Segoe UI"/>
                <w:b w:val="0"/>
                <w:i w:val="0"/>
                <w:color w:val="1E293B"/>
                <w:sz w:val="17"/>
              </w:rPr>
              <w:t xml:space="preserve"> Prioritized &amp; Actionable Checklist</w:t>
            </w:r>
          </w:p>
        </w:tc>
      </w:tr>
    </w:tbl>
    <w:p>
      <w:pPr>
        <w:spacing w:before="120" w:after="80"/>
      </w:pPr>
    </w:p>
    <w:tbl>
      <w:tblPr>
        <w:tblW w:type="auto" w:w="0"/>
        <w:jc w:val="center"/>
        <w:tblLayout w:type="fixed"/>
        <w:tblLook w:firstColumn="1" w:firstRow="1" w:lastColumn="0" w:lastRow="0" w:noHBand="0" w:noVBand="1" w:val="04A0"/>
      </w:tblPr>
      <w:tblGrid>
        <w:gridCol w:w="10080"/>
      </w:tblGrid>
      <w:tr>
        <w:tc>
          <w:tcPr>
            <w:tcW w:type="dxa" w:w="10080"/>
            <w:shd w:fill="F0F9FF"/>
            <w:tcMar>
              <w:top w:w="140" w:type="dxa"/>
              <w:bottom w:w="140" w:type="dxa"/>
              <w:left w:w="200" w:type="dxa"/>
              <w:right w:w="200" w:type="dxa"/>
            </w:tcMar>
            <w:tcBorders>
              <w:top w:val="none"/>
              <w:bottom w:val="none"/>
              <w:left w:val="single" w:sz="24" w:space="0" w:color="0284C7"/>
              <w:right w:val="none"/>
            </w:tcBorders>
          </w:tcPr>
          <w:p>
            <w:pPr>
              <w:spacing w:before="0" w:after="0" w:line="276" w:lineRule="auto"/>
            </w:pPr>
            <w:r>
              <w:rPr>
                <w:rFonts w:ascii="Segoe UI" w:hAnsi="Segoe UI"/>
                <w:b/>
                <w:i w:val="0"/>
                <w:color w:val="0369A1"/>
                <w:sz w:val="20"/>
              </w:rPr>
              <w:t>📋 Executive Context &amp; Objective</w:t>
              <w:br/>
            </w:r>
            <w:r>
              <w:rPr>
                <w:rFonts w:ascii="Segoe UI" w:hAnsi="Segoe UI"/>
                <w:b w:val="0"/>
                <w:i w:val="0"/>
                <w:color w:val="334155"/>
                <w:sz w:val="19"/>
              </w:rPr>
              <w:t>This document breaks down all 11 security and privacy findings identified in the automated risk assessment scan for qhotels.co and associated network assets (13.65.148.90, 144.76.101.11, innrly.com, etc.).</w:t>
              <w:br/>
              <w:br/>
              <w:t>It provides a prioritized, step-by-step checklist of concrete remediation actions categorized by operational domain: Server/Infrastructure Administration, Web Development, and Compliance/Legal.</w:t>
            </w:r>
          </w:p>
        </w:tc>
      </w:tr>
    </w:tbl>
    <w:p>
      <w:pPr>
        <w:spacing w:before="0" w:after="80"/>
      </w:pPr>
    </w:p>
    <w:p>
      <w:pPr>
        <w:spacing w:before="280" w:after="80"/>
      </w:pPr>
      <w:r>
        <w:rPr>
          <w:rFonts w:ascii="Segoe UI" w:hAnsi="Segoe UI"/>
          <w:b/>
          <w:i w:val="0"/>
          <w:color w:val="0F172A"/>
          <w:sz w:val="28"/>
        </w:rPr>
        <w:t>1. Executive Summary of Findings</w:t>
      </w:r>
    </w:p>
    <w:p>
      <w:pPr>
        <w:spacing w:before="0" w:after="160"/>
      </w:pPr>
      <w:r>
        <w:rPr>
          <w:rFonts w:ascii="Segoe UI" w:hAnsi="Segoe UI"/>
          <w:b w:val="0"/>
          <w:i w:val="0"/>
          <w:color w:val="334155"/>
          <w:sz w:val="20"/>
        </w:rPr>
        <w:t xml:space="preserve">The risk scan identified </w:t>
      </w:r>
      <w:r>
        <w:rPr>
          <w:rFonts w:ascii="Segoe UI" w:hAnsi="Segoe UI"/>
          <w:b/>
          <w:i w:val="0"/>
          <w:color w:val="0F172A"/>
          <w:sz w:val="20"/>
        </w:rPr>
        <w:t>11 total findings</w:t>
      </w:r>
      <w:r>
        <w:rPr>
          <w:rFonts w:ascii="Segoe UI" w:hAnsi="Segoe UI"/>
          <w:b w:val="0"/>
          <w:i w:val="0"/>
          <w:color w:val="334155"/>
          <w:sz w:val="20"/>
        </w:rPr>
        <w:t xml:space="preserve"> distributed across 4 core risk categories: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fill="1E3A8A"/>
            <w:tcMar>
              <w:top w:w="140" w:type="dxa"/>
              <w:bottom w:w="140" w:type="dxa"/>
              <w:left w:w="120" w:type="dxa"/>
              <w:right w:w="120" w:type="dxa"/>
            </w:tcMar>
            <w:tcBorders>
              <w:top w:val="single" w:sz="8" w:space="0" w:color="1E3A8A"/>
              <w:bottom w:val="single" w:sz="8" w:space="0" w:color="1E3A8A"/>
              <w:left w:val="none"/>
              <w:right w:val="none"/>
            </w:tcBorders>
          </w:tcPr>
          <w:p>
            <w:pPr>
              <w:spacing w:before="0" w:after="0"/>
              <w:jc w:val="center"/>
            </w:pPr>
            <w:r>
              <w:rPr>
                <w:rFonts w:ascii="Segoe UI" w:hAnsi="Segoe UI"/>
                <w:b/>
                <w:i w:val="0"/>
                <w:color w:val="FFFFFF"/>
                <w:sz w:val="18"/>
              </w:rPr>
              <w:t>Priority</w:t>
            </w:r>
          </w:p>
        </w:tc>
        <w:tc>
          <w:tcPr>
            <w:tcW w:type="dxa" w:w="1872"/>
            <w:shd w:fill="1E3A8A"/>
            <w:tcMar>
              <w:top w:w="140" w:type="dxa"/>
              <w:bottom w:w="140" w:type="dxa"/>
              <w:left w:w="120" w:type="dxa"/>
              <w:right w:w="120" w:type="dxa"/>
            </w:tcMar>
            <w:tcBorders>
              <w:top w:val="single" w:sz="8" w:space="0" w:color="1E3A8A"/>
              <w:bottom w:val="single" w:sz="8" w:space="0" w:color="1E3A8A"/>
              <w:left w:val="none"/>
              <w:right w:val="none"/>
            </w:tcBorders>
          </w:tcPr>
          <w:p>
            <w:pPr>
              <w:spacing w:before="0" w:after="0"/>
            </w:pPr>
            <w:r>
              <w:rPr>
                <w:rFonts w:ascii="Segoe UI" w:hAnsi="Segoe UI"/>
                <w:b/>
                <w:i w:val="0"/>
                <w:color w:val="FFFFFF"/>
                <w:sz w:val="18"/>
              </w:rPr>
              <w:t>Category</w:t>
            </w:r>
          </w:p>
        </w:tc>
        <w:tc>
          <w:tcPr>
            <w:tcW w:type="dxa" w:w="2448"/>
            <w:shd w:fill="1E3A8A"/>
            <w:tcMar>
              <w:top w:w="140" w:type="dxa"/>
              <w:bottom w:w="140" w:type="dxa"/>
              <w:left w:w="120" w:type="dxa"/>
              <w:right w:w="120" w:type="dxa"/>
            </w:tcMar>
            <w:tcBorders>
              <w:top w:val="single" w:sz="8" w:space="0" w:color="1E3A8A"/>
              <w:bottom w:val="single" w:sz="8" w:space="0" w:color="1E3A8A"/>
              <w:left w:val="none"/>
              <w:right w:val="none"/>
            </w:tcBorders>
          </w:tcPr>
          <w:p>
            <w:pPr>
              <w:spacing w:before="0" w:after="0"/>
            </w:pPr>
            <w:r>
              <w:rPr>
                <w:rFonts w:ascii="Segoe UI" w:hAnsi="Segoe UI"/>
                <w:b/>
                <w:i w:val="0"/>
                <w:color w:val="FFFFFF"/>
                <w:sz w:val="18"/>
              </w:rPr>
              <w:t>Finding Name</w:t>
            </w:r>
          </w:p>
        </w:tc>
        <w:tc>
          <w:tcPr>
            <w:tcW w:type="dxa" w:w="2304"/>
            <w:shd w:fill="1E3A8A"/>
            <w:tcMar>
              <w:top w:w="140" w:type="dxa"/>
              <w:bottom w:w="140" w:type="dxa"/>
              <w:left w:w="120" w:type="dxa"/>
              <w:right w:w="120" w:type="dxa"/>
            </w:tcMar>
            <w:tcBorders>
              <w:top w:val="single" w:sz="8" w:space="0" w:color="1E3A8A"/>
              <w:bottom w:val="single" w:sz="8" w:space="0" w:color="1E3A8A"/>
              <w:left w:val="none"/>
              <w:right w:val="none"/>
            </w:tcBorders>
          </w:tcPr>
          <w:p>
            <w:pPr>
              <w:spacing w:before="0" w:after="0"/>
            </w:pPr>
            <w:r>
              <w:rPr>
                <w:rFonts w:ascii="Segoe UI" w:hAnsi="Segoe UI"/>
                <w:b/>
                <w:i w:val="0"/>
                <w:color w:val="FFFFFF"/>
                <w:sz w:val="18"/>
              </w:rPr>
              <w:t>Affected Asset(s)</w:t>
            </w:r>
          </w:p>
        </w:tc>
        <w:tc>
          <w:tcPr>
            <w:tcW w:type="dxa" w:w="2016"/>
            <w:shd w:fill="1E3A8A"/>
            <w:tcMar>
              <w:top w:w="140" w:type="dxa"/>
              <w:bottom w:w="140" w:type="dxa"/>
              <w:left w:w="120" w:type="dxa"/>
              <w:right w:w="120" w:type="dxa"/>
            </w:tcMar>
            <w:tcBorders>
              <w:top w:val="single" w:sz="8" w:space="0" w:color="1E3A8A"/>
              <w:bottom w:val="single" w:sz="8" w:space="0" w:color="1E3A8A"/>
              <w:left w:val="none"/>
              <w:right w:val="none"/>
            </w:tcBorders>
          </w:tcPr>
          <w:p>
            <w:pPr>
              <w:spacing w:before="0" w:after="0"/>
            </w:pPr>
            <w:r>
              <w:rPr>
                <w:rFonts w:ascii="Segoe UI" w:hAnsi="Segoe UI"/>
                <w:b/>
                <w:i w:val="0"/>
                <w:color w:val="FFFFFF"/>
                <w:sz w:val="18"/>
              </w:rPr>
              <w:t>Responsible Role</w:t>
            </w:r>
          </w:p>
        </w:tc>
      </w:tr>
      <w:tr>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C2626"/>
                <w:sz w:val="17"/>
              </w:rPr>
              <w:t>🔴 High</w:t>
            </w:r>
          </w:p>
        </w:tc>
        <w:tc>
          <w:tcPr>
            <w:tcW w:type="dxa" w:w="1872"/>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Privacy / Tracking</w:t>
            </w:r>
          </w:p>
        </w:tc>
        <w:tc>
          <w:tcPr>
            <w:tcW w:type="dxa" w:w="2448"/>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Risky Tracking Technology</w:t>
            </w:r>
          </w:p>
        </w:tc>
        <w:tc>
          <w:tcPr>
            <w:tcW w:type="dxa" w:w="2304"/>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qhotels.co</w:t>
            </w:r>
          </w:p>
        </w:tc>
        <w:tc>
          <w:tcPr>
            <w:tcW w:type="dxa" w:w="2016"/>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w:t>
            </w:r>
          </w:p>
        </w:tc>
      </w:tr>
      <w:tr>
        <w:tc>
          <w:tcPr>
            <w:tcW w:type="dxa" w:w="1440"/>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Database Exposure</w:t>
            </w:r>
          </w:p>
        </w:tc>
        <w:tc>
          <w:tcPr>
            <w:tcW w:type="dxa" w:w="2448"/>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Microsoft SQL Service Exposed</w:t>
            </w:r>
          </w:p>
        </w:tc>
        <w:tc>
          <w:tcPr>
            <w:tcW w:type="dxa" w:w="2304"/>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13.65.148.90 (Port 1433)</w:t>
            </w:r>
          </w:p>
        </w:tc>
        <w:tc>
          <w:tcPr>
            <w:tcW w:type="dxa" w:w="2016"/>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Infrastructure / DevOps</w:t>
            </w:r>
          </w:p>
        </w:tc>
      </w:tr>
      <w:tr>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Database Exposure</w:t>
            </w:r>
          </w:p>
        </w:tc>
        <w:tc>
          <w:tcPr>
            <w:tcW w:type="dxa" w:w="2448"/>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MySQL Service Exposed</w:t>
            </w:r>
          </w:p>
        </w:tc>
        <w:tc>
          <w:tcPr>
            <w:tcW w:type="dxa" w:w="2304"/>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144.76.101.11 (Port 3306)</w:t>
            </w:r>
          </w:p>
        </w:tc>
        <w:tc>
          <w:tcPr>
            <w:tcW w:type="dxa" w:w="2016"/>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Infrastructure / DevOps</w:t>
            </w:r>
          </w:p>
        </w:tc>
      </w:tr>
      <w:tr>
        <w:tc>
          <w:tcPr>
            <w:tcW w:type="dxa" w:w="1440"/>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Cleartext Protocol</w:t>
            </w:r>
          </w:p>
        </w:tc>
        <w:tc>
          <w:tcPr>
            <w:tcW w:type="dxa" w:w="2448"/>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FTP Service without SSL/TLS (7 hosts)</w:t>
            </w:r>
          </w:p>
        </w:tc>
        <w:tc>
          <w:tcPr>
            <w:tcW w:type="dxa" w:w="2304"/>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13.65.148.90, qhotels.co, innrly.com</w:t>
            </w:r>
          </w:p>
        </w:tc>
        <w:tc>
          <w:tcPr>
            <w:tcW w:type="dxa" w:w="2016"/>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Infrastructure / DevOps</w:t>
            </w:r>
          </w:p>
        </w:tc>
      </w:tr>
      <w:tr>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Cleartext Protocol</w:t>
            </w:r>
          </w:p>
        </w:tc>
        <w:tc>
          <w:tcPr>
            <w:tcW w:type="dxa" w:w="2448"/>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HTTP Service without SSL/TLS (14 hosts)</w:t>
            </w:r>
          </w:p>
        </w:tc>
        <w:tc>
          <w:tcPr>
            <w:tcW w:type="dxa" w:w="2304"/>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qhotels.co, innrly.com subdomains</w:t>
            </w:r>
          </w:p>
        </w:tc>
        <w:tc>
          <w:tcPr>
            <w:tcW w:type="dxa" w:w="2016"/>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Infrastructure / DevOps</w:t>
            </w:r>
          </w:p>
        </w:tc>
      </w:tr>
      <w:tr>
        <w:tc>
          <w:tcPr>
            <w:tcW w:type="dxa" w:w="1440"/>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Privacy / Consent</w:t>
            </w:r>
          </w:p>
        </w:tc>
        <w:tc>
          <w:tcPr>
            <w:tcW w:type="dxa" w:w="2448"/>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No Cookie Banner Detected</w:t>
            </w:r>
          </w:p>
        </w:tc>
        <w:tc>
          <w:tcPr>
            <w:tcW w:type="dxa" w:w="2304"/>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qhotels.co</w:t>
            </w:r>
          </w:p>
        </w:tc>
        <w:tc>
          <w:tcPr>
            <w:tcW w:type="dxa" w:w="2016"/>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w:t>
            </w:r>
          </w:p>
        </w:tc>
      </w:tr>
      <w:tr>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Privacy / Consent</w:t>
            </w:r>
          </w:p>
        </w:tc>
        <w:tc>
          <w:tcPr>
            <w:tcW w:type="dxa" w:w="2448"/>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Non-necessary Cookies Instantly Fire</w:t>
            </w:r>
          </w:p>
        </w:tc>
        <w:tc>
          <w:tcPr>
            <w:tcW w:type="dxa" w:w="2304"/>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qhotels.co</w:t>
            </w:r>
          </w:p>
        </w:tc>
        <w:tc>
          <w:tcPr>
            <w:tcW w:type="dxa" w:w="2016"/>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w:t>
            </w:r>
          </w:p>
        </w:tc>
      </w:tr>
      <w:tr>
        <w:tc>
          <w:tcPr>
            <w:tcW w:type="dxa" w:w="1440"/>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Privacy / GPC</w:t>
            </w:r>
          </w:p>
        </w:tc>
        <w:tc>
          <w:tcPr>
            <w:tcW w:type="dxa" w:w="2448"/>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No Global Privacy Control (GPC)</w:t>
            </w:r>
          </w:p>
        </w:tc>
        <w:tc>
          <w:tcPr>
            <w:tcW w:type="dxa" w:w="2304"/>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qhotels.co</w:t>
            </w:r>
          </w:p>
        </w:tc>
        <w:tc>
          <w:tcPr>
            <w:tcW w:type="dxa" w:w="2016"/>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w:t>
            </w:r>
          </w:p>
        </w:tc>
      </w:tr>
      <w:tr>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Privacy / GPC</w:t>
            </w:r>
          </w:p>
        </w:tc>
        <w:tc>
          <w:tcPr>
            <w:tcW w:type="dxa" w:w="2448"/>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Website May Ignore GPC Header</w:t>
            </w:r>
          </w:p>
        </w:tc>
        <w:tc>
          <w:tcPr>
            <w:tcW w:type="dxa" w:w="2304"/>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qhotels.co</w:t>
            </w:r>
          </w:p>
        </w:tc>
        <w:tc>
          <w:tcPr>
            <w:tcW w:type="dxa" w:w="2016"/>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w:t>
            </w:r>
          </w:p>
        </w:tc>
      </w:tr>
      <w:tr>
        <w:tc>
          <w:tcPr>
            <w:tcW w:type="dxa" w:w="1440"/>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Privacy / Legal</w:t>
            </w:r>
          </w:p>
        </w:tc>
        <w:tc>
          <w:tcPr>
            <w:tcW w:type="dxa" w:w="2448"/>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Missing "Do Not Sell My Info" Link</w:t>
            </w:r>
          </w:p>
        </w:tc>
        <w:tc>
          <w:tcPr>
            <w:tcW w:type="dxa" w:w="2304"/>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qhotels.co</w:t>
            </w:r>
          </w:p>
        </w:tc>
        <w:tc>
          <w:tcPr>
            <w:tcW w:type="dxa" w:w="2016"/>
            <w:shd w:fill="F8FAFC"/>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 / Legal</w:t>
            </w:r>
          </w:p>
        </w:tc>
      </w:tr>
      <w:tr>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D97706"/>
                <w:sz w:val="17"/>
              </w:rPr>
              <w:t>🟡 Medium</w:t>
            </w:r>
          </w:p>
        </w:tc>
        <w:tc>
          <w:tcPr>
            <w:tcW w:type="dxa" w:w="1872"/>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Privacy / Legal</w:t>
            </w:r>
          </w:p>
        </w:tc>
        <w:tc>
          <w:tcPr>
            <w:tcW w:type="dxa" w:w="2448"/>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F172A"/>
                <w:sz w:val="17"/>
              </w:rPr>
              <w:t>Privacy Policy Older than 12 Months</w:t>
            </w:r>
          </w:p>
        </w:tc>
        <w:tc>
          <w:tcPr>
            <w:tcW w:type="dxa" w:w="2304"/>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qhotels.co</w:t>
            </w:r>
          </w:p>
        </w:tc>
        <w:tc>
          <w:tcPr>
            <w:tcW w:type="dxa" w:w="2016"/>
            <w:shd w:fill="FFFFFF"/>
            <w:tcMar>
              <w:top w:w="100" w:type="dxa"/>
              <w:bottom w:w="100" w:type="dxa"/>
              <w:left w:w="120" w:type="dxa"/>
              <w:right w:w="12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Legal / Web Developer</w:t>
            </w:r>
          </w:p>
        </w:tc>
      </w:tr>
    </w:tbl>
    <w:p>
      <w:pPr>
        <w:spacing w:before="200" w:after="80"/>
      </w:pPr>
    </w:p>
    <w:p>
      <w:pPr>
        <w:spacing w:before="320" w:after="80"/>
      </w:pPr>
      <w:r>
        <w:rPr>
          <w:rFonts w:ascii="Segoe UI" w:hAnsi="Segoe UI"/>
          <w:b/>
          <w:i w:val="0"/>
          <w:color w:val="0F172A"/>
          <w:sz w:val="28"/>
        </w:rPr>
        <w:t>2. Detailed Action Plan by Domain</w:t>
      </w:r>
    </w:p>
    <w:p>
      <w:pPr>
        <w:spacing w:before="240" w:after="80"/>
      </w:pPr>
      <w:r>
        <w:rPr>
          <w:rFonts w:ascii="Segoe UI" w:hAnsi="Segoe UI"/>
          <w:b/>
          <w:i w:val="0"/>
          <w:color w:val="1E3A8A"/>
          <w:sz w:val="24"/>
        </w:rPr>
        <w:t>Phase 1: Infrastructure &amp; Network Security (DevOps / Server Admin)</w:t>
      </w:r>
    </w:p>
    <w:p>
      <w:pPr>
        <w:spacing w:before="160" w:after="40"/>
      </w:pPr>
      <w:r>
        <w:rPr>
          <w:rFonts w:ascii="Segoe UI" w:hAnsi="Segoe UI"/>
          <w:b/>
          <w:i w:val="0"/>
          <w:color w:val="334155"/>
          <w:sz w:val="22"/>
        </w:rPr>
        <w:t>1.1 Close Public Database Ports (MS SQL &amp; MySQL)</w:t>
      </w:r>
    </w:p>
    <w:tbl>
      <w:tblPr>
        <w:tblW w:type="auto" w:w="0"/>
        <w:jc w:val="center"/>
        <w:tblLayout w:type="fixed"/>
        <w:tblLook w:firstColumn="1" w:firstRow="1" w:lastColumn="0" w:lastRow="0" w:noHBand="0" w:noVBand="1" w:val="04A0"/>
      </w:tblPr>
      <w:tblGrid>
        <w:gridCol w:w="10080"/>
      </w:tblGrid>
      <w:tr>
        <w:tc>
          <w:tcPr>
            <w:tcW w:type="dxa" w:w="10080"/>
            <w:shd w:fill="FFF7ED"/>
            <w:tcMar>
              <w:top w:w="100" w:type="dxa"/>
              <w:bottom w:w="100" w:type="dxa"/>
              <w:left w:w="160" w:type="dxa"/>
              <w:right w:w="160" w:type="dxa"/>
            </w:tcMar>
            <w:tcBorders>
              <w:top w:val="none"/>
              <w:bottom w:val="none"/>
              <w:left w:val="single" w:sz="20" w:space="0" w:color="F97316"/>
              <w:right w:val="none"/>
            </w:tcBorders>
          </w:tcPr>
          <w:p>
            <w:pPr>
              <w:spacing w:before="0" w:after="0" w:line="276" w:lineRule="auto"/>
            </w:pPr>
            <w:r>
              <w:rPr>
                <w:rFonts w:ascii="Segoe UI" w:hAnsi="Segoe UI"/>
                <w:b/>
                <w:i w:val="0"/>
                <w:color w:val="C2410C"/>
                <w:sz w:val="19"/>
              </w:rPr>
              <w:t xml:space="preserve">⚠️ Problem Identified: </w:t>
            </w:r>
            <w:r>
              <w:rPr>
                <w:rFonts w:ascii="Segoe UI" w:hAnsi="Segoe UI"/>
                <w:b w:val="0"/>
                <w:i w:val="0"/>
                <w:color w:val="431407"/>
                <w:sz w:val="19"/>
              </w:rPr>
              <w:t>Database ports 1433 (MS SQL on 13.65.148.90) and 3306 (MySQL on 144.76.101.11) are reachable over the public internet. This exposes internal databases to brute force, automated credential stuffing, and remote exploit vectors.</w:t>
            </w:r>
          </w:p>
        </w:tc>
      </w:tr>
    </w:tbl>
    <w:p>
      <w:pPr>
        <w:spacing w:before="0" w:after="80"/>
      </w:pPr>
    </w:p>
    <w:p>
      <w:pPr>
        <w:spacing w:before="40" w:after="40"/>
      </w:pPr>
      <w:r>
        <w:rPr>
          <w:rFonts w:ascii="Segoe UI" w:hAnsi="Segoe UI"/>
          <w:b/>
          <w:i w:val="0"/>
          <w:color w:val="0F172A"/>
          <w:sz w:val="19"/>
        </w:rPr>
        <w:t>Action Required:</w:t>
      </w:r>
    </w:p>
    <w:p>
      <w:pPr>
        <w:spacing w:before="20" w:after="40"/>
        <w:ind w:left="360"/>
      </w:pPr>
      <w:r>
        <w:rPr>
          <w:rFonts w:ascii="Segoe UI" w:hAnsi="Segoe UI"/>
          <w:b/>
          <w:i w:val="0"/>
          <w:color w:val="0284C7"/>
          <w:sz w:val="19"/>
        </w:rPr>
        <w:t xml:space="preserve">1. </w:t>
      </w:r>
      <w:r>
        <w:rPr>
          <w:rFonts w:ascii="Segoe UI" w:hAnsi="Segoe UI"/>
          <w:b w:val="0"/>
          <w:i w:val="0"/>
          <w:color w:val="334155"/>
          <w:sz w:val="19"/>
        </w:rPr>
        <w:t>In Windows Firewall and cloud security groups (AWS/Azure/Hetzner), block public inbound traffic on port 1433 and port 3306.</w:t>
      </w:r>
    </w:p>
    <w:p>
      <w:pPr>
        <w:spacing w:before="20" w:after="40"/>
        <w:ind w:left="360"/>
      </w:pPr>
      <w:r>
        <w:rPr>
          <w:rFonts w:ascii="Segoe UI" w:hAnsi="Segoe UI"/>
          <w:b/>
          <w:i w:val="0"/>
          <w:color w:val="0284C7"/>
          <w:sz w:val="19"/>
        </w:rPr>
        <w:t xml:space="preserve">2. </w:t>
      </w:r>
      <w:r>
        <w:rPr>
          <w:rFonts w:ascii="Segoe UI" w:hAnsi="Segoe UI"/>
          <w:b w:val="0"/>
          <w:i w:val="0"/>
          <w:color w:val="334155"/>
          <w:sz w:val="19"/>
        </w:rPr>
        <w:t>If remote administration is required, mandate connection via VPN or restrict access strictly to whitelisted static office/server IP addresses.</w:t>
      </w:r>
    </w:p>
    <w:p>
      <w:pPr>
        <w:spacing w:before="20" w:after="40"/>
        <w:ind w:left="360"/>
      </w:pPr>
      <w:r>
        <w:rPr>
          <w:rFonts w:ascii="Segoe UI" w:hAnsi="Segoe UI"/>
          <w:b/>
          <w:i w:val="0"/>
          <w:color w:val="0284C7"/>
          <w:sz w:val="19"/>
        </w:rPr>
        <w:t xml:space="preserve">3. </w:t>
      </w:r>
      <w:r>
        <w:rPr>
          <w:rFonts w:ascii="Segoe UI" w:hAnsi="Segoe UI"/>
          <w:b w:val="0"/>
          <w:i w:val="0"/>
          <w:color w:val="334155"/>
          <w:sz w:val="19"/>
        </w:rPr>
        <w:t>Ensure database service listening binding is set to localhost (127.0.0.1 / bind-address = 127.0.0.1) for local-only database instances.</w:t>
      </w:r>
    </w:p>
    <w:p>
      <w:pPr>
        <w:spacing w:before="200" w:after="40"/>
      </w:pPr>
      <w:r>
        <w:rPr>
          <w:rFonts w:ascii="Segoe UI" w:hAnsi="Segoe UI"/>
          <w:b/>
          <w:i w:val="0"/>
          <w:color w:val="334155"/>
          <w:sz w:val="22"/>
        </w:rPr>
        <w:t>1.2 Disable Plain FTP &amp; Enforce SFTP / FTPS</w:t>
      </w:r>
    </w:p>
    <w:tbl>
      <w:tblPr>
        <w:tblW w:type="auto" w:w="0"/>
        <w:jc w:val="center"/>
        <w:tblLayout w:type="fixed"/>
        <w:tblLook w:firstColumn="1" w:firstRow="1" w:lastColumn="0" w:lastRow="0" w:noHBand="0" w:noVBand="1" w:val="04A0"/>
      </w:tblPr>
      <w:tblGrid>
        <w:gridCol w:w="10080"/>
      </w:tblGrid>
      <w:tr>
        <w:tc>
          <w:tcPr>
            <w:tcW w:type="dxa" w:w="10080"/>
            <w:shd w:fill="FFF7ED"/>
            <w:tcMar>
              <w:top w:w="100" w:type="dxa"/>
              <w:bottom w:w="100" w:type="dxa"/>
              <w:left w:w="160" w:type="dxa"/>
              <w:right w:w="160" w:type="dxa"/>
            </w:tcMar>
            <w:tcBorders>
              <w:top w:val="none"/>
              <w:bottom w:val="none"/>
              <w:left w:val="single" w:sz="20" w:space="0" w:color="F97316"/>
              <w:right w:val="none"/>
            </w:tcBorders>
          </w:tcPr>
          <w:p>
            <w:pPr>
              <w:spacing w:before="0" w:after="0" w:line="276" w:lineRule="auto"/>
            </w:pPr>
            <w:r>
              <w:rPr>
                <w:rFonts w:ascii="Segoe UI" w:hAnsi="Segoe UI"/>
                <w:b/>
                <w:i w:val="0"/>
                <w:color w:val="C2410C"/>
                <w:sz w:val="19"/>
              </w:rPr>
              <w:t xml:space="preserve">⚠️ Problem Identified: </w:t>
            </w:r>
            <w:r>
              <w:rPr>
                <w:rFonts w:ascii="Segoe UI" w:hAnsi="Segoe UI"/>
                <w:b w:val="0"/>
                <w:i w:val="0"/>
                <w:color w:val="431407"/>
                <w:sz w:val="19"/>
              </w:rPr>
              <w:t>Plain FTP (Port 21) transmits administrative credentials, user authentication tokens, and website files across the network in unencrypted cleartext.</w:t>
            </w:r>
          </w:p>
        </w:tc>
      </w:tr>
    </w:tbl>
    <w:p>
      <w:pPr>
        <w:spacing w:before="0" w:after="80"/>
      </w:pPr>
    </w:p>
    <w:p>
      <w:pPr>
        <w:spacing w:before="40" w:after="40"/>
      </w:pPr>
      <w:r>
        <w:rPr>
          <w:rFonts w:ascii="Segoe UI" w:hAnsi="Segoe UI"/>
          <w:b/>
          <w:i w:val="0"/>
          <w:color w:val="0F172A"/>
          <w:sz w:val="19"/>
        </w:rPr>
        <w:t>Action Required:</w:t>
      </w:r>
    </w:p>
    <w:p>
      <w:pPr>
        <w:spacing w:before="20" w:after="40"/>
        <w:ind w:left="360"/>
      </w:pPr>
      <w:r>
        <w:rPr>
          <w:rFonts w:ascii="Segoe UI" w:hAnsi="Segoe UI"/>
          <w:b/>
          <w:i w:val="0"/>
          <w:color w:val="0284C7"/>
          <w:sz w:val="19"/>
        </w:rPr>
        <w:t xml:space="preserve">1. </w:t>
      </w:r>
      <w:r>
        <w:rPr>
          <w:rFonts w:ascii="Segoe UI" w:hAnsi="Segoe UI"/>
          <w:b w:val="0"/>
          <w:i w:val="0"/>
          <w:color w:val="334155"/>
          <w:sz w:val="19"/>
        </w:rPr>
        <w:t>Disable standard unencrypted FTP services on 13.65.148.90, qhotels.co, and innrly.com servers.</w:t>
      </w:r>
    </w:p>
    <w:p>
      <w:pPr>
        <w:spacing w:before="20" w:after="40"/>
        <w:ind w:left="360"/>
      </w:pPr>
      <w:r>
        <w:rPr>
          <w:rFonts w:ascii="Segoe UI" w:hAnsi="Segoe UI"/>
          <w:b/>
          <w:i w:val="0"/>
          <w:color w:val="0284C7"/>
          <w:sz w:val="19"/>
        </w:rPr>
        <w:t xml:space="preserve">2. </w:t>
      </w:r>
      <w:r>
        <w:rPr>
          <w:rFonts w:ascii="Segoe UI" w:hAnsi="Segoe UI"/>
          <w:b w:val="0"/>
          <w:i w:val="0"/>
          <w:color w:val="334155"/>
          <w:sz w:val="19"/>
        </w:rPr>
        <w:t>Transition all file transfer workflows to SFTP (SSH File Transfer Protocol on Port 22) or FTPS (FTP over TLS/SSL with explicit encryption enforced).</w:t>
      </w:r>
    </w:p>
    <w:p>
      <w:pPr>
        <w:spacing w:before="200" w:after="40"/>
      </w:pPr>
      <w:r>
        <w:rPr>
          <w:rFonts w:ascii="Segoe UI" w:hAnsi="Segoe UI"/>
          <w:b/>
          <w:i w:val="0"/>
          <w:color w:val="334155"/>
          <w:sz w:val="22"/>
        </w:rPr>
        <w:t>1.3 Enforce HTTPS &amp; HTTP-to-HTTPS Redirection Across All Domains</w:t>
      </w:r>
    </w:p>
    <w:tbl>
      <w:tblPr>
        <w:tblW w:type="auto" w:w="0"/>
        <w:jc w:val="center"/>
        <w:tblLayout w:type="fixed"/>
        <w:tblLook w:firstColumn="1" w:firstRow="1" w:lastColumn="0" w:lastRow="0" w:noHBand="0" w:noVBand="1" w:val="04A0"/>
      </w:tblPr>
      <w:tblGrid>
        <w:gridCol w:w="10080"/>
      </w:tblGrid>
      <w:tr>
        <w:tc>
          <w:tcPr>
            <w:tcW w:type="dxa" w:w="10080"/>
            <w:shd w:fill="FFF7ED"/>
            <w:tcMar>
              <w:top w:w="100" w:type="dxa"/>
              <w:bottom w:w="100" w:type="dxa"/>
              <w:left w:w="160" w:type="dxa"/>
              <w:right w:w="160" w:type="dxa"/>
            </w:tcMar>
            <w:tcBorders>
              <w:top w:val="none"/>
              <w:bottom w:val="none"/>
              <w:left w:val="single" w:sz="20" w:space="0" w:color="F97316"/>
              <w:right w:val="none"/>
            </w:tcBorders>
          </w:tcPr>
          <w:p>
            <w:pPr>
              <w:spacing w:before="0" w:after="0" w:line="276" w:lineRule="auto"/>
            </w:pPr>
            <w:r>
              <w:rPr>
                <w:rFonts w:ascii="Segoe UI" w:hAnsi="Segoe UI"/>
                <w:b/>
                <w:i w:val="0"/>
                <w:color w:val="C2410C"/>
                <w:sz w:val="19"/>
              </w:rPr>
              <w:t xml:space="preserve">⚠️ Problem Identified: </w:t>
            </w:r>
            <w:r>
              <w:rPr>
                <w:rFonts w:ascii="Segoe UI" w:hAnsi="Segoe UI"/>
                <w:b w:val="0"/>
                <w:i w:val="0"/>
                <w:color w:val="431407"/>
                <w:sz w:val="19"/>
              </w:rPr>
              <w:t>14 hostnames accept unencrypted plain HTTP (Port 80) connections without strictly enforcing encryption.</w:t>
            </w:r>
          </w:p>
        </w:tc>
      </w:tr>
    </w:tbl>
    <w:p>
      <w:pPr>
        <w:spacing w:before="0" w:after="80"/>
      </w:pPr>
    </w:p>
    <w:p>
      <w:pPr>
        <w:spacing w:before="40" w:after="40"/>
      </w:pPr>
      <w:r>
        <w:rPr>
          <w:rFonts w:ascii="Segoe UI" w:hAnsi="Segoe UI"/>
          <w:b/>
          <w:i w:val="0"/>
          <w:color w:val="0F172A"/>
          <w:sz w:val="19"/>
        </w:rPr>
        <w:t>Action Required:</w:t>
      </w:r>
    </w:p>
    <w:p>
      <w:pPr>
        <w:spacing w:before="20" w:after="40"/>
        <w:ind w:left="360"/>
      </w:pPr>
      <w:r>
        <w:rPr>
          <w:rFonts w:ascii="Segoe UI" w:hAnsi="Segoe UI"/>
          <w:b/>
          <w:i w:val="0"/>
          <w:color w:val="0284C7"/>
          <w:sz w:val="19"/>
        </w:rPr>
        <w:t xml:space="preserve">1. </w:t>
      </w:r>
      <w:r>
        <w:rPr>
          <w:rFonts w:ascii="Segoe UI" w:hAnsi="Segoe UI"/>
          <w:b w:val="0"/>
          <w:i w:val="0"/>
          <w:color w:val="334155"/>
          <w:sz w:val="19"/>
        </w:rPr>
        <w:t>In IIS (or edge reverse proxy / Cloudflare), configure an automatic HTTP to HTTPS 301 Permanent Redirect for all incoming requests.</w:t>
      </w:r>
    </w:p>
    <w:p>
      <w:pPr>
        <w:spacing w:before="20" w:after="40"/>
        <w:ind w:left="360"/>
      </w:pPr>
      <w:r>
        <w:rPr>
          <w:rFonts w:ascii="Segoe UI" w:hAnsi="Segoe UI"/>
          <w:b/>
          <w:i w:val="0"/>
          <w:color w:val="0284C7"/>
          <w:sz w:val="19"/>
        </w:rPr>
        <w:t xml:space="preserve">2. </w:t>
      </w:r>
      <w:r>
        <w:rPr>
          <w:rFonts w:ascii="Segoe UI" w:hAnsi="Segoe UI"/>
          <w:b w:val="0"/>
          <w:i w:val="0"/>
          <w:color w:val="334155"/>
          <w:sz w:val="19"/>
        </w:rPr>
        <w:t>Add the HSTS (HTTP Strict Transport Security) header in IIS web.config to mandate encrypted communication browser-side:</w:t>
      </w:r>
    </w:p>
    <w:tbl>
      <w:tblPr>
        <w:tblW w:type="auto" w:w="0"/>
        <w:jc w:val="center"/>
        <w:tblLayout w:type="fixed"/>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single" w:sz="18" w:space="0" w:color="3B82F6"/>
              <w:bottom w:val="single" w:sz="18" w:space="0" w:color="3B82F6"/>
              <w:left w:val="single" w:sz="18" w:space="0" w:color="3B82F6"/>
              <w:right w:val="single" w:sz="18" w:space="0" w:color="3B82F6"/>
            </w:tcBorders>
          </w:tcPr>
          <w:p>
            <w:pPr>
              <w:spacing w:before="0" w:after="0" w:line="252" w:lineRule="auto"/>
            </w:pPr>
            <w:r>
              <w:rPr>
                <w:rFonts w:ascii="Consolas" w:hAnsi="Consolas"/>
                <w:b w:val="0"/>
                <w:i w:val="0"/>
                <w:color w:val="0F172A"/>
                <w:sz w:val="18"/>
              </w:rPr>
              <w:t>&lt;httpProtocol&gt;</w:t>
              <w:br/>
              <w:t xml:space="preserve">  &lt;customHeaders&gt;</w:t>
              <w:br/>
              <w:t xml:space="preserve">    &lt;add name="Strict-Transport-Security" value="max-age=31536000; includeSubDomains; preload" /&gt;</w:t>
              <w:br/>
              <w:t xml:space="preserve">  &lt;/customHeaders&gt;</w:t>
              <w:br/>
              <w:t>&lt;/httpProtocol&gt;</w:t>
            </w:r>
          </w:p>
        </w:tc>
      </w:tr>
    </w:tbl>
    <w:p>
      <w:pPr>
        <w:spacing w:before="0" w:after="80"/>
      </w:pPr>
    </w:p>
    <w:p>
      <w:pPr>
        <w:spacing w:before="20" w:after="80"/>
        <w:ind w:left="360"/>
      </w:pPr>
      <w:r>
        <w:rPr>
          <w:rFonts w:ascii="Segoe UI" w:hAnsi="Segoe UI"/>
          <w:b/>
          <w:i w:val="0"/>
          <w:color w:val="0284C7"/>
          <w:sz w:val="19"/>
        </w:rPr>
        <w:t xml:space="preserve">3. </w:t>
      </w:r>
      <w:r>
        <w:rPr>
          <w:rFonts w:ascii="Segoe UI" w:hAnsi="Segoe UI"/>
          <w:b w:val="0"/>
          <w:i w:val="0"/>
          <w:color w:val="334155"/>
          <w:sz w:val="19"/>
        </w:rPr>
        <w:t>Ensure valid SSL/TLS certificates (e.g. Let's Encrypt / DigiCert) are installed and auto-renewing on all active subdomains.</w:t>
      </w:r>
    </w:p>
    <w:p>
      <w:pPr>
        <w:spacing w:before="280" w:after="80"/>
      </w:pPr>
      <w:r>
        <w:rPr>
          <w:rFonts w:ascii="Segoe UI" w:hAnsi="Segoe UI"/>
          <w:b/>
          <w:i w:val="0"/>
          <w:color w:val="1E3A8A"/>
          <w:sz w:val="24"/>
        </w:rPr>
        <w:t>Phase 2: Web Privacy, Cookie Consent &amp; GPC Compliance (Frontend / Web Developer)</w:t>
      </w:r>
    </w:p>
    <w:p>
      <w:pPr>
        <w:spacing w:before="160" w:after="40"/>
      </w:pPr>
      <w:r>
        <w:rPr>
          <w:rFonts w:ascii="Segoe UI" w:hAnsi="Segoe UI"/>
          <w:b/>
          <w:i w:val="0"/>
          <w:color w:val="334155"/>
          <w:sz w:val="22"/>
        </w:rPr>
        <w:t>2.1 Implement a Consent Management Platform (CMP) &amp; Cookie Banner</w:t>
      </w:r>
    </w:p>
    <w:tbl>
      <w:tblPr>
        <w:tblW w:type="auto" w:w="0"/>
        <w:jc w:val="center"/>
        <w:tblLayout w:type="fixed"/>
        <w:tblLook w:firstColumn="1" w:firstRow="1" w:lastColumn="0" w:lastRow="0" w:noHBand="0" w:noVBand="1" w:val="04A0"/>
      </w:tblPr>
      <w:tblGrid>
        <w:gridCol w:w="10080"/>
      </w:tblGrid>
      <w:tr>
        <w:tc>
          <w:tcPr>
            <w:tcW w:type="dxa" w:w="10080"/>
            <w:shd w:fill="FFF7ED"/>
            <w:tcMar>
              <w:top w:w="100" w:type="dxa"/>
              <w:bottom w:w="100" w:type="dxa"/>
              <w:left w:w="160" w:type="dxa"/>
              <w:right w:w="160" w:type="dxa"/>
            </w:tcMar>
            <w:tcBorders>
              <w:top w:val="none"/>
              <w:bottom w:val="none"/>
              <w:left w:val="single" w:sz="20" w:space="0" w:color="F97316"/>
              <w:right w:val="none"/>
            </w:tcBorders>
          </w:tcPr>
          <w:p>
            <w:pPr>
              <w:spacing w:before="0" w:after="0" w:line="276" w:lineRule="auto"/>
            </w:pPr>
            <w:r>
              <w:rPr>
                <w:rFonts w:ascii="Segoe UI" w:hAnsi="Segoe UI"/>
                <w:b/>
                <w:i w:val="0"/>
                <w:color w:val="C2410C"/>
                <w:sz w:val="19"/>
              </w:rPr>
              <w:t xml:space="preserve">⚠️ Problem Identified: </w:t>
            </w:r>
            <w:r>
              <w:rPr>
                <w:rFonts w:ascii="Segoe UI" w:hAnsi="Segoe UI"/>
                <w:b w:val="0"/>
                <w:i w:val="0"/>
                <w:color w:val="431407"/>
                <w:sz w:val="19"/>
              </w:rPr>
              <w:t>Tracking cookies and Google Analytics scripts fire immediately upon page load prior to visitors having an opportunity to accept, reject, or customize tracking preferences.</w:t>
            </w:r>
          </w:p>
        </w:tc>
      </w:tr>
    </w:tbl>
    <w:p>
      <w:pPr>
        <w:spacing w:before="0" w:after="80"/>
      </w:pPr>
    </w:p>
    <w:p>
      <w:pPr>
        <w:spacing w:before="40" w:after="40"/>
      </w:pPr>
      <w:r>
        <w:rPr>
          <w:rFonts w:ascii="Segoe UI" w:hAnsi="Segoe UI"/>
          <w:b/>
          <w:i w:val="0"/>
          <w:color w:val="0F172A"/>
          <w:sz w:val="19"/>
        </w:rPr>
        <w:t>Action Required:</w:t>
      </w:r>
    </w:p>
    <w:p>
      <w:pPr>
        <w:spacing w:before="20" w:after="40"/>
        <w:ind w:left="360"/>
      </w:pPr>
      <w:r>
        <w:rPr>
          <w:rFonts w:ascii="Segoe UI" w:hAnsi="Segoe UI"/>
          <w:b/>
          <w:i w:val="0"/>
          <w:color w:val="0284C7"/>
          <w:sz w:val="19"/>
        </w:rPr>
        <w:t xml:space="preserve">1. </w:t>
      </w:r>
      <w:r>
        <w:rPr>
          <w:rFonts w:ascii="Segoe UI" w:hAnsi="Segoe UI"/>
          <w:b w:val="0"/>
          <w:i w:val="0"/>
          <w:color w:val="334155"/>
          <w:sz w:val="19"/>
        </w:rPr>
        <w:t>Deploy a compliant Consent Management Platform (such as Cookiebot, OneTrust, Termly, or a custom GDPR/CCPA-compliant modal).</w:t>
      </w:r>
    </w:p>
    <w:p>
      <w:pPr>
        <w:spacing w:before="20" w:after="40"/>
        <w:ind w:left="360"/>
      </w:pPr>
      <w:r>
        <w:rPr>
          <w:rFonts w:ascii="Segoe UI" w:hAnsi="Segoe UI"/>
          <w:b/>
          <w:i w:val="0"/>
          <w:color w:val="0284C7"/>
          <w:sz w:val="19"/>
        </w:rPr>
        <w:t xml:space="preserve">2. </w:t>
      </w:r>
      <w:r>
        <w:rPr>
          <w:rFonts w:ascii="Segoe UI" w:hAnsi="Segoe UI"/>
          <w:b w:val="0"/>
          <w:i w:val="0"/>
          <w:color w:val="334155"/>
          <w:sz w:val="19"/>
        </w:rPr>
        <w:t>Configure the CMP to block non-essential scripts (Google Analytics gtag.js, marketing pixels) until the visitor explicitly clicks "Accept" or configures cookie preferences.</w:t>
      </w:r>
    </w:p>
    <w:p>
      <w:pPr>
        <w:spacing w:before="20" w:after="40"/>
        <w:ind w:left="360"/>
      </w:pPr>
      <w:r>
        <w:rPr>
          <w:rFonts w:ascii="Segoe UI" w:hAnsi="Segoe UI"/>
          <w:b/>
          <w:i w:val="0"/>
          <w:color w:val="0284C7"/>
          <w:sz w:val="19"/>
        </w:rPr>
        <w:t xml:space="preserve">3. </w:t>
      </w:r>
      <w:r>
        <w:rPr>
          <w:rFonts w:ascii="Segoe UI" w:hAnsi="Segoe UI"/>
          <w:b w:val="0"/>
          <w:i w:val="0"/>
          <w:color w:val="334155"/>
          <w:sz w:val="19"/>
        </w:rPr>
        <w:t>Upgrade Google Analytics tags to GA4 (G-XXXXXXXXXX) and enforce Google Consent Mode v2 (analytics_storage: 'denied' by default until consent is granted).</w:t>
      </w:r>
    </w:p>
    <w:p>
      <w:pPr>
        <w:spacing w:before="200" w:after="40"/>
      </w:pPr>
      <w:r>
        <w:rPr>
          <w:rFonts w:ascii="Segoe UI" w:hAnsi="Segoe UI"/>
          <w:b/>
          <w:i w:val="0"/>
          <w:color w:val="334155"/>
          <w:sz w:val="22"/>
        </w:rPr>
        <w:t>2.2 Honor Global Privacy Control (GPC) Signals</w:t>
      </w:r>
    </w:p>
    <w:tbl>
      <w:tblPr>
        <w:tblW w:type="auto" w:w="0"/>
        <w:jc w:val="center"/>
        <w:tblLayout w:type="fixed"/>
        <w:tblLook w:firstColumn="1" w:firstRow="1" w:lastColumn="0" w:lastRow="0" w:noHBand="0" w:noVBand="1" w:val="04A0"/>
      </w:tblPr>
      <w:tblGrid>
        <w:gridCol w:w="10080"/>
      </w:tblGrid>
      <w:tr>
        <w:tc>
          <w:tcPr>
            <w:tcW w:type="dxa" w:w="10080"/>
            <w:shd w:fill="FFF7ED"/>
            <w:tcMar>
              <w:top w:w="100" w:type="dxa"/>
              <w:bottom w:w="100" w:type="dxa"/>
              <w:left w:w="160" w:type="dxa"/>
              <w:right w:w="160" w:type="dxa"/>
            </w:tcMar>
            <w:tcBorders>
              <w:top w:val="none"/>
              <w:bottom w:val="none"/>
              <w:left w:val="single" w:sz="20" w:space="0" w:color="F97316"/>
              <w:right w:val="none"/>
            </w:tcBorders>
          </w:tcPr>
          <w:p>
            <w:pPr>
              <w:spacing w:before="0" w:after="0" w:line="276" w:lineRule="auto"/>
            </w:pPr>
            <w:r>
              <w:rPr>
                <w:rFonts w:ascii="Segoe UI" w:hAnsi="Segoe UI"/>
                <w:b/>
                <w:i w:val="0"/>
                <w:color w:val="C2410C"/>
                <w:sz w:val="19"/>
              </w:rPr>
              <w:t xml:space="preserve">⚠️ Problem Identified: </w:t>
            </w:r>
            <w:r>
              <w:rPr>
                <w:rFonts w:ascii="Segoe UI" w:hAnsi="Segoe UI"/>
                <w:b w:val="0"/>
                <w:i w:val="0"/>
                <w:color w:val="431407"/>
                <w:sz w:val="19"/>
              </w:rPr>
              <w:t>When a visitor's browser transmits the Sec-GPC: 1 HTTP header or sets navigator.globalPrivacyControl = true, third-party analytics and marketing scripts continue to load unchanged.</w:t>
            </w:r>
          </w:p>
        </w:tc>
      </w:tr>
    </w:tbl>
    <w:p>
      <w:pPr>
        <w:spacing w:before="0" w:after="80"/>
      </w:pPr>
    </w:p>
    <w:p>
      <w:pPr>
        <w:spacing w:before="40" w:after="40"/>
      </w:pPr>
      <w:r>
        <w:rPr>
          <w:rFonts w:ascii="Segoe UI" w:hAnsi="Segoe UI"/>
          <w:b/>
          <w:i w:val="0"/>
          <w:color w:val="0F172A"/>
          <w:sz w:val="19"/>
        </w:rPr>
        <w:t>Action Required:</w:t>
      </w:r>
    </w:p>
    <w:p>
      <w:pPr>
        <w:spacing w:before="20" w:after="40"/>
        <w:ind w:left="360"/>
      </w:pPr>
      <w:r>
        <w:rPr>
          <w:rFonts w:ascii="Segoe UI" w:hAnsi="Segoe UI"/>
          <w:b/>
          <w:i w:val="0"/>
          <w:color w:val="0284C7"/>
          <w:sz w:val="19"/>
        </w:rPr>
        <w:t xml:space="preserve">1. </w:t>
      </w:r>
      <w:r>
        <w:rPr>
          <w:rFonts w:ascii="Segoe UI" w:hAnsi="Segoe UI"/>
          <w:b w:val="0"/>
          <w:i w:val="0"/>
          <w:color w:val="334155"/>
          <w:sz w:val="19"/>
        </w:rPr>
        <w:t>Ensure the cookie consent platform automatically listens for and detects navigator.globalPrivacyControl.</w:t>
      </w:r>
    </w:p>
    <w:p>
      <w:pPr>
        <w:spacing w:before="20" w:after="40"/>
        <w:ind w:left="360"/>
      </w:pPr>
      <w:r>
        <w:rPr>
          <w:rFonts w:ascii="Segoe UI" w:hAnsi="Segoe UI"/>
          <w:b/>
          <w:i w:val="0"/>
          <w:color w:val="0284C7"/>
          <w:sz w:val="19"/>
        </w:rPr>
        <w:t xml:space="preserve">2. </w:t>
      </w:r>
      <w:r>
        <w:rPr>
          <w:rFonts w:ascii="Segoe UI" w:hAnsi="Segoe UI"/>
          <w:b w:val="0"/>
          <w:i w:val="0"/>
          <w:color w:val="334155"/>
          <w:sz w:val="19"/>
        </w:rPr>
        <w:t>If GPC is evaluated as true, automatically treat it as an opt-out: suppress non-essential tracking cookies and mark analytics tracking as rejected without requiring manual interaction.</w:t>
      </w:r>
    </w:p>
    <w:p>
      <w:pPr>
        <w:spacing w:before="200" w:after="40"/>
      </w:pPr>
      <w:r>
        <w:rPr>
          <w:rFonts w:ascii="Segoe UI" w:hAnsi="Segoe UI"/>
          <w:b/>
          <w:i w:val="0"/>
          <w:color w:val="334155"/>
          <w:sz w:val="22"/>
        </w:rPr>
        <w:t>2.3 Add "Do Not Sell or Share My Personal Information" Link</w:t>
      </w:r>
    </w:p>
    <w:tbl>
      <w:tblPr>
        <w:tblW w:type="auto" w:w="0"/>
        <w:jc w:val="center"/>
        <w:tblLayout w:type="fixed"/>
        <w:tblLook w:firstColumn="1" w:firstRow="1" w:lastColumn="0" w:lastRow="0" w:noHBand="0" w:noVBand="1" w:val="04A0"/>
      </w:tblPr>
      <w:tblGrid>
        <w:gridCol w:w="10080"/>
      </w:tblGrid>
      <w:tr>
        <w:tc>
          <w:tcPr>
            <w:tcW w:type="dxa" w:w="10080"/>
            <w:shd w:fill="FFF7ED"/>
            <w:tcMar>
              <w:top w:w="100" w:type="dxa"/>
              <w:bottom w:w="100" w:type="dxa"/>
              <w:left w:w="160" w:type="dxa"/>
              <w:right w:w="160" w:type="dxa"/>
            </w:tcMar>
            <w:tcBorders>
              <w:top w:val="none"/>
              <w:bottom w:val="none"/>
              <w:left w:val="single" w:sz="20" w:space="0" w:color="F97316"/>
              <w:right w:val="none"/>
            </w:tcBorders>
          </w:tcPr>
          <w:p>
            <w:pPr>
              <w:spacing w:before="0" w:after="0" w:line="276" w:lineRule="auto"/>
            </w:pPr>
            <w:r>
              <w:rPr>
                <w:rFonts w:ascii="Segoe UI" w:hAnsi="Segoe UI"/>
                <w:b/>
                <w:i w:val="0"/>
                <w:color w:val="C2410C"/>
                <w:sz w:val="19"/>
              </w:rPr>
              <w:t xml:space="preserve">⚠️ Problem Identified: </w:t>
            </w:r>
            <w:r>
              <w:rPr>
                <w:rFonts w:ascii="Segoe UI" w:hAnsi="Segoe UI"/>
                <w:b w:val="0"/>
                <w:i w:val="0"/>
                <w:color w:val="431407"/>
                <w:sz w:val="19"/>
              </w:rPr>
              <w:t>Under CCPA/CPRA, websites collecting visitor data must provide a clear, conspicuous opt-out mechanism accessible on the homepage and across all site footers.</w:t>
            </w:r>
          </w:p>
        </w:tc>
      </w:tr>
    </w:tbl>
    <w:p>
      <w:pPr>
        <w:spacing w:before="0" w:after="80"/>
      </w:pPr>
    </w:p>
    <w:p>
      <w:pPr>
        <w:spacing w:before="40" w:after="40"/>
      </w:pPr>
      <w:r>
        <w:rPr>
          <w:rFonts w:ascii="Segoe UI" w:hAnsi="Segoe UI"/>
          <w:b/>
          <w:i w:val="0"/>
          <w:color w:val="0F172A"/>
          <w:sz w:val="19"/>
        </w:rPr>
        <w:t>Action Required:</w:t>
      </w:r>
    </w:p>
    <w:p>
      <w:pPr>
        <w:spacing w:before="20" w:after="40"/>
        <w:ind w:left="360"/>
      </w:pPr>
      <w:r>
        <w:rPr>
          <w:rFonts w:ascii="Segoe UI" w:hAnsi="Segoe UI"/>
          <w:b/>
          <w:i w:val="0"/>
          <w:color w:val="0284C7"/>
          <w:sz w:val="19"/>
        </w:rPr>
        <w:t xml:space="preserve">1. </w:t>
      </w:r>
      <w:r>
        <w:rPr>
          <w:rFonts w:ascii="Segoe UI" w:hAnsi="Segoe UI"/>
          <w:b w:val="0"/>
          <w:i w:val="0"/>
          <w:color w:val="334155"/>
          <w:sz w:val="19"/>
        </w:rPr>
        <w:t>Add a prominent "Do Not Sell or Share My Personal Information" link to the website footer in templates/base.html.</w:t>
      </w:r>
    </w:p>
    <w:p>
      <w:pPr>
        <w:spacing w:before="20" w:after="40"/>
        <w:ind w:left="360"/>
      </w:pPr>
      <w:r>
        <w:rPr>
          <w:rFonts w:ascii="Segoe UI" w:hAnsi="Segoe UI"/>
          <w:b/>
          <w:i w:val="0"/>
          <w:color w:val="0284C7"/>
          <w:sz w:val="19"/>
        </w:rPr>
        <w:t xml:space="preserve">2. </w:t>
      </w:r>
      <w:r>
        <w:rPr>
          <w:rFonts w:ascii="Segoe UI" w:hAnsi="Segoe UI"/>
          <w:b w:val="0"/>
          <w:i w:val="0"/>
          <w:color w:val="334155"/>
          <w:sz w:val="19"/>
        </w:rPr>
        <w:t>Link it either to a privacy preference center modal (re-triggering the CMP banner to manage opt-outs) or directly to privacy policy opt-out procedures.</w:t>
      </w:r>
    </w:p>
    <w:p>
      <w:pPr>
        <w:spacing w:before="20" w:after="40"/>
        <w:ind w:left="360"/>
      </w:pPr>
      <w:r>
        <w:rPr>
          <w:rFonts w:ascii="Segoe UI" w:hAnsi="Segoe UI"/>
          <w:b/>
          <w:i w:val="0"/>
          <w:color w:val="0284C7"/>
          <w:sz w:val="19"/>
        </w:rPr>
        <w:t xml:space="preserve">3. </w:t>
      </w:r>
      <w:r>
        <w:rPr>
          <w:rFonts w:ascii="Segoe UI" w:hAnsi="Segoe UI"/>
          <w:b w:val="0"/>
          <w:i w:val="0"/>
          <w:color w:val="334155"/>
          <w:sz w:val="19"/>
        </w:rPr>
        <w:t>Note: If the organization qualifies for an exemption under CCPA thresholds, document the formal business justification as an "Accepted Risk" in compliance archives.</w:t>
      </w:r>
    </w:p>
    <w:p>
      <w:pPr>
        <w:spacing w:before="280" w:after="80"/>
      </w:pPr>
      <w:r>
        <w:rPr>
          <w:rFonts w:ascii="Segoe UI" w:hAnsi="Segoe UI"/>
          <w:b/>
          <w:i w:val="0"/>
          <w:color w:val="1E3A8A"/>
          <w:sz w:val="24"/>
        </w:rPr>
        <w:t>Phase 3: Legal &amp; Policy Updates (Legal &amp; Content Team)</w:t>
      </w:r>
    </w:p>
    <w:p>
      <w:pPr>
        <w:spacing w:before="160" w:after="40"/>
      </w:pPr>
      <w:r>
        <w:rPr>
          <w:rFonts w:ascii="Segoe UI" w:hAnsi="Segoe UI"/>
          <w:b/>
          <w:i w:val="0"/>
          <w:color w:val="334155"/>
          <w:sz w:val="22"/>
        </w:rPr>
        <w:t>3.1 Privacy Policy Annual Refresh</w:t>
      </w:r>
    </w:p>
    <w:tbl>
      <w:tblPr>
        <w:tblW w:type="auto" w:w="0"/>
        <w:jc w:val="center"/>
        <w:tblLayout w:type="fixed"/>
        <w:tblLook w:firstColumn="1" w:firstRow="1" w:lastColumn="0" w:lastRow="0" w:noHBand="0" w:noVBand="1" w:val="04A0"/>
      </w:tblPr>
      <w:tblGrid>
        <w:gridCol w:w="10080"/>
      </w:tblGrid>
      <w:tr>
        <w:tc>
          <w:tcPr>
            <w:tcW w:type="dxa" w:w="10080"/>
            <w:shd w:fill="FFF7ED"/>
            <w:tcMar>
              <w:top w:w="100" w:type="dxa"/>
              <w:bottom w:w="100" w:type="dxa"/>
              <w:left w:w="160" w:type="dxa"/>
              <w:right w:w="160" w:type="dxa"/>
            </w:tcMar>
            <w:tcBorders>
              <w:top w:val="none"/>
              <w:bottom w:val="none"/>
              <w:left w:val="single" w:sz="20" w:space="0" w:color="F97316"/>
              <w:right w:val="none"/>
            </w:tcBorders>
          </w:tcPr>
          <w:p>
            <w:pPr>
              <w:spacing w:before="0" w:after="0" w:line="276" w:lineRule="auto"/>
            </w:pPr>
            <w:r>
              <w:rPr>
                <w:rFonts w:ascii="Segoe UI" w:hAnsi="Segoe UI"/>
                <w:b/>
                <w:i w:val="0"/>
                <w:color w:val="C2410C"/>
                <w:sz w:val="19"/>
              </w:rPr>
              <w:t xml:space="preserve">⚠️ Problem Identified: </w:t>
            </w:r>
            <w:r>
              <w:rPr>
                <w:rFonts w:ascii="Segoe UI" w:hAnsi="Segoe UI"/>
                <w:b w:val="0"/>
                <w:i w:val="0"/>
                <w:color w:val="431407"/>
                <w:sz w:val="19"/>
              </w:rPr>
              <w:t>The website's privacy policy was last updated over 12 months ago. Major privacy regulations (CCPA/CPRA, GDPR) mandate regular annual reviews and up-to-date disclosure disclosures.</w:t>
            </w:r>
          </w:p>
        </w:tc>
      </w:tr>
    </w:tbl>
    <w:p>
      <w:pPr>
        <w:spacing w:before="0" w:after="80"/>
      </w:pPr>
    </w:p>
    <w:p>
      <w:pPr>
        <w:spacing w:before="40" w:after="40"/>
      </w:pPr>
      <w:r>
        <w:rPr>
          <w:rFonts w:ascii="Segoe UI" w:hAnsi="Segoe UI"/>
          <w:b/>
          <w:i w:val="0"/>
          <w:color w:val="0F172A"/>
          <w:sz w:val="19"/>
        </w:rPr>
        <w:t>Action Required:</w:t>
      </w:r>
    </w:p>
    <w:p>
      <w:pPr>
        <w:spacing w:before="20" w:after="40"/>
        <w:ind w:left="360"/>
      </w:pPr>
      <w:r>
        <w:rPr>
          <w:rFonts w:ascii="Segoe UI" w:hAnsi="Segoe UI"/>
          <w:b/>
          <w:i w:val="0"/>
          <w:color w:val="0284C7"/>
          <w:sz w:val="19"/>
        </w:rPr>
        <w:t xml:space="preserve">1. </w:t>
      </w:r>
      <w:r>
        <w:rPr>
          <w:rFonts w:ascii="Segoe UI" w:hAnsi="Segoe UI"/>
          <w:b w:val="0"/>
          <w:i w:val="0"/>
          <w:color w:val="334155"/>
          <w:sz w:val="19"/>
        </w:rPr>
        <w:t>Review templates/privacy-policy.html and update the "Effective Date / Last Updated" to the current year/month.</w:t>
      </w:r>
    </w:p>
    <w:p>
      <w:pPr>
        <w:spacing w:before="20" w:after="40"/>
        <w:ind w:left="360"/>
      </w:pPr>
      <w:r>
        <w:rPr>
          <w:rFonts w:ascii="Segoe UI" w:hAnsi="Segoe UI"/>
          <w:b/>
          <w:i w:val="0"/>
          <w:color w:val="0284C7"/>
          <w:sz w:val="19"/>
        </w:rPr>
        <w:t xml:space="preserve">2. </w:t>
      </w:r>
      <w:r>
        <w:rPr>
          <w:rFonts w:ascii="Segoe UI" w:hAnsi="Segoe UI"/>
          <w:b w:val="0"/>
          <w:i w:val="0"/>
          <w:color w:val="334155"/>
          <w:sz w:val="19"/>
        </w:rPr>
        <w:t>Ensure the revised policy explicitly outlines the following requirements:</w:t>
      </w:r>
    </w:p>
    <w:p>
      <w:pPr>
        <w:spacing w:before="20" w:after="40"/>
        <w:ind w:left="720"/>
      </w:pPr>
      <w:r>
        <w:rPr>
          <w:rFonts w:ascii="Segoe UI" w:hAnsi="Segoe UI"/>
          <w:b/>
          <w:i w:val="0"/>
          <w:color w:val="0284C7"/>
          <w:sz w:val="19"/>
        </w:rPr>
        <w:t xml:space="preserve">• </w:t>
      </w:r>
      <w:r>
        <w:rPr>
          <w:rFonts w:ascii="Segoe UI" w:hAnsi="Segoe UI"/>
          <w:b w:val="0"/>
          <w:i w:val="0"/>
          <w:color w:val="475569"/>
          <w:sz w:val="18"/>
        </w:rPr>
        <w:t>Categories of personal data collected (e.g., contact inquiry forms, server logs, analytics identifiers).</w:t>
      </w:r>
    </w:p>
    <w:p>
      <w:pPr>
        <w:spacing w:before="20" w:after="40"/>
        <w:ind w:left="720"/>
      </w:pPr>
      <w:r>
        <w:rPr>
          <w:rFonts w:ascii="Segoe UI" w:hAnsi="Segoe UI"/>
          <w:b/>
          <w:i w:val="0"/>
          <w:color w:val="0284C7"/>
          <w:sz w:val="19"/>
        </w:rPr>
        <w:t xml:space="preserve">• </w:t>
      </w:r>
      <w:r>
        <w:rPr>
          <w:rFonts w:ascii="Segoe UI" w:hAnsi="Segoe UI"/>
          <w:b w:val="0"/>
          <w:i w:val="0"/>
          <w:color w:val="475569"/>
          <w:sz w:val="18"/>
        </w:rPr>
        <w:t>Clear opt-out instructions and how Global Privacy Control (GPC) signals are recognized and honored.</w:t>
      </w:r>
    </w:p>
    <w:p>
      <w:pPr>
        <w:spacing w:before="20" w:after="40"/>
        <w:ind w:left="720"/>
      </w:pPr>
      <w:r>
        <w:rPr>
          <w:rFonts w:ascii="Segoe UI" w:hAnsi="Segoe UI"/>
          <w:b/>
          <w:i w:val="0"/>
          <w:color w:val="0284C7"/>
          <w:sz w:val="19"/>
        </w:rPr>
        <w:t xml:space="preserve">• </w:t>
      </w:r>
      <w:r>
        <w:rPr>
          <w:rFonts w:ascii="Segoe UI" w:hAnsi="Segoe UI"/>
          <w:b w:val="0"/>
          <w:i w:val="0"/>
          <w:color w:val="475569"/>
          <w:sz w:val="18"/>
        </w:rPr>
        <w:t>Consumer privacy rights (Right to Know, Delete, Correct, and Opt-Out of Data Sharing/Sale).</w:t>
      </w:r>
    </w:p>
    <w:p>
      <w:pPr>
        <w:spacing w:before="20" w:after="40"/>
        <w:ind w:left="720"/>
      </w:pPr>
      <w:r>
        <w:rPr>
          <w:rFonts w:ascii="Segoe UI" w:hAnsi="Segoe UI"/>
          <w:b/>
          <w:i w:val="0"/>
          <w:color w:val="0284C7"/>
          <w:sz w:val="19"/>
        </w:rPr>
        <w:t xml:space="preserve">• </w:t>
      </w:r>
      <w:r>
        <w:rPr>
          <w:rFonts w:ascii="Segoe UI" w:hAnsi="Segoe UI"/>
          <w:b w:val="0"/>
          <w:i w:val="0"/>
          <w:color w:val="475569"/>
          <w:sz w:val="18"/>
        </w:rPr>
        <w:t>Dedicated contact email address for privacy inquiries and data subject access requests (e.g., info@qhotels.co).</w:t>
      </w:r>
    </w:p>
    <w:p>
      <w:pPr>
        <w:spacing w:before="320" w:after="80"/>
      </w:pPr>
      <w:r>
        <w:rPr>
          <w:rFonts w:ascii="Segoe UI" w:hAnsi="Segoe UI"/>
          <w:b/>
          <w:i w:val="0"/>
          <w:color w:val="0F172A"/>
          <w:sz w:val="28"/>
        </w:rPr>
        <w:t>3. Action Checklist &amp; Resolution Tracking</w:t>
      </w:r>
    </w:p>
    <w:p>
      <w:pPr>
        <w:spacing w:before="0" w:after="120"/>
      </w:pPr>
      <w:r>
        <w:rPr>
          <w:rFonts w:ascii="Segoe UI" w:hAnsi="Segoe UI"/>
          <w:b w:val="0"/>
          <w:i w:val="0"/>
          <w:color w:val="334155"/>
          <w:sz w:val="20"/>
        </w:rPr>
        <w:t>Use this checklist to record implementation progress and track sign-off for each remediation item:</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152"/>
            <w:shd w:fill="1E3A8A"/>
            <w:tcMar>
              <w:top w:w="120" w:type="dxa"/>
              <w:bottom w:w="120" w:type="dxa"/>
              <w:left w:w="100" w:type="dxa"/>
              <w:right w:w="100" w:type="dxa"/>
            </w:tcMar>
            <w:tcBorders>
              <w:top w:val="single" w:sz="8" w:space="0" w:color="1E3A8A"/>
              <w:bottom w:val="single" w:sz="8" w:space="0" w:color="1E3A8A"/>
              <w:left w:val="none"/>
              <w:right w:val="none"/>
            </w:tcBorders>
          </w:tcPr>
          <w:p>
            <w:pPr>
              <w:spacing w:before="0" w:after="0"/>
              <w:jc w:val="center"/>
            </w:pPr>
            <w:r>
              <w:rPr>
                <w:rFonts w:ascii="Segoe UI" w:hAnsi="Segoe UI"/>
                <w:b/>
                <w:i w:val="0"/>
                <w:color w:val="FFFFFF"/>
                <w:sz w:val="18"/>
              </w:rPr>
              <w:t>Status</w:t>
            </w:r>
          </w:p>
        </w:tc>
        <w:tc>
          <w:tcPr>
            <w:tcW w:type="dxa" w:w="1728"/>
            <w:shd w:fill="1E3A8A"/>
            <w:tcMar>
              <w:top w:w="120" w:type="dxa"/>
              <w:bottom w:w="120" w:type="dxa"/>
              <w:left w:w="100" w:type="dxa"/>
              <w:right w:w="100" w:type="dxa"/>
            </w:tcMar>
            <w:tcBorders>
              <w:top w:val="single" w:sz="8" w:space="0" w:color="1E3A8A"/>
              <w:bottom w:val="single" w:sz="8" w:space="0" w:color="1E3A8A"/>
              <w:left w:val="none"/>
              <w:right w:val="none"/>
            </w:tcBorders>
          </w:tcPr>
          <w:p>
            <w:pPr>
              <w:spacing w:before="0" w:after="0"/>
            </w:pPr>
            <w:r>
              <w:rPr>
                <w:rFonts w:ascii="Segoe UI" w:hAnsi="Segoe UI"/>
                <w:b/>
                <w:i w:val="0"/>
                <w:color w:val="FFFFFF"/>
                <w:sz w:val="18"/>
              </w:rPr>
              <w:t>Category</w:t>
            </w:r>
          </w:p>
        </w:tc>
        <w:tc>
          <w:tcPr>
            <w:tcW w:type="dxa" w:w="5184"/>
            <w:shd w:fill="1E3A8A"/>
            <w:tcMar>
              <w:top w:w="120" w:type="dxa"/>
              <w:bottom w:w="120" w:type="dxa"/>
              <w:left w:w="100" w:type="dxa"/>
              <w:right w:w="100" w:type="dxa"/>
            </w:tcMar>
            <w:tcBorders>
              <w:top w:val="single" w:sz="8" w:space="0" w:color="1E3A8A"/>
              <w:bottom w:val="single" w:sz="8" w:space="0" w:color="1E3A8A"/>
              <w:left w:val="none"/>
              <w:right w:val="none"/>
            </w:tcBorders>
          </w:tcPr>
          <w:p>
            <w:pPr>
              <w:spacing w:before="0" w:after="0"/>
            </w:pPr>
            <w:r>
              <w:rPr>
                <w:rFonts w:ascii="Segoe UI" w:hAnsi="Segoe UI"/>
                <w:b/>
                <w:i w:val="0"/>
                <w:color w:val="FFFFFF"/>
                <w:sz w:val="18"/>
              </w:rPr>
              <w:t>Remediation Action Item</w:t>
            </w:r>
          </w:p>
        </w:tc>
        <w:tc>
          <w:tcPr>
            <w:tcW w:type="dxa" w:w="2016"/>
            <w:shd w:fill="1E3A8A"/>
            <w:tcMar>
              <w:top w:w="120" w:type="dxa"/>
              <w:bottom w:w="120" w:type="dxa"/>
              <w:left w:w="100" w:type="dxa"/>
              <w:right w:w="100" w:type="dxa"/>
            </w:tcMar>
            <w:tcBorders>
              <w:top w:val="single" w:sz="8" w:space="0" w:color="1E3A8A"/>
              <w:bottom w:val="single" w:sz="8" w:space="0" w:color="1E3A8A"/>
              <w:left w:val="none"/>
              <w:right w:val="none"/>
            </w:tcBorders>
          </w:tcPr>
          <w:p>
            <w:pPr>
              <w:spacing w:before="0" w:after="0"/>
            </w:pPr>
            <w:r>
              <w:rPr>
                <w:rFonts w:ascii="Segoe UI" w:hAnsi="Segoe UI"/>
                <w:b/>
                <w:i w:val="0"/>
                <w:color w:val="FFFFFF"/>
                <w:sz w:val="18"/>
              </w:rPr>
              <w:t>Assigned Owner</w:t>
            </w:r>
          </w:p>
        </w:tc>
      </w:tr>
      <w:tr>
        <w:tc>
          <w:tcPr>
            <w:tcW w:type="dxa" w:w="1152"/>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Firewall</w:t>
            </w:r>
          </w:p>
        </w:tc>
        <w:tc>
          <w:tcPr>
            <w:tcW w:type="dxa" w:w="5184"/>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1. </w:t>
            </w:r>
            <w:r>
              <w:rPr>
                <w:rFonts w:ascii="Segoe UI" w:hAnsi="Segoe UI"/>
                <w:b w:val="0"/>
                <w:i w:val="0"/>
                <w:color w:val="334155"/>
                <w:sz w:val="17"/>
              </w:rPr>
              <w:t>Close public access to MS SQL (Port 1433 on 13.65.148.90)</w:t>
            </w:r>
          </w:p>
        </w:tc>
        <w:tc>
          <w:tcPr>
            <w:tcW w:type="dxa" w:w="2016"/>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DevOps / Infrastructure</w:t>
            </w:r>
          </w:p>
        </w:tc>
      </w:tr>
      <w:tr>
        <w:tc>
          <w:tcPr>
            <w:tcW w:type="dxa" w:w="1152"/>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Firewall</w:t>
            </w:r>
          </w:p>
        </w:tc>
        <w:tc>
          <w:tcPr>
            <w:tcW w:type="dxa" w:w="5184"/>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2. </w:t>
            </w:r>
            <w:r>
              <w:rPr>
                <w:rFonts w:ascii="Segoe UI" w:hAnsi="Segoe UI"/>
                <w:b w:val="0"/>
                <w:i w:val="0"/>
                <w:color w:val="334155"/>
                <w:sz w:val="17"/>
              </w:rPr>
              <w:t>Close public access to MySQL (Port 3306 on 144.76.101.11)</w:t>
            </w:r>
          </w:p>
        </w:tc>
        <w:tc>
          <w:tcPr>
            <w:tcW w:type="dxa" w:w="2016"/>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DevOps / Infrastructure</w:t>
            </w:r>
          </w:p>
        </w:tc>
      </w:tr>
      <w:tr>
        <w:tc>
          <w:tcPr>
            <w:tcW w:type="dxa" w:w="1152"/>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Network</w:t>
            </w:r>
          </w:p>
        </w:tc>
        <w:tc>
          <w:tcPr>
            <w:tcW w:type="dxa" w:w="5184"/>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3. </w:t>
            </w:r>
            <w:r>
              <w:rPr>
                <w:rFonts w:ascii="Segoe UI" w:hAnsi="Segoe UI"/>
                <w:b w:val="0"/>
                <w:i w:val="0"/>
                <w:color w:val="334155"/>
                <w:sz w:val="17"/>
              </w:rPr>
              <w:t>Disable plain FTP (Port 21) across all hosts; enforce SFTP / FTPS</w:t>
            </w:r>
          </w:p>
        </w:tc>
        <w:tc>
          <w:tcPr>
            <w:tcW w:type="dxa" w:w="2016"/>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DevOps / Infrastructure</w:t>
            </w:r>
          </w:p>
        </w:tc>
      </w:tr>
      <w:tr>
        <w:tc>
          <w:tcPr>
            <w:tcW w:type="dxa" w:w="1152"/>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Web Server</w:t>
            </w:r>
          </w:p>
        </w:tc>
        <w:tc>
          <w:tcPr>
            <w:tcW w:type="dxa" w:w="5184"/>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4. </w:t>
            </w:r>
            <w:r>
              <w:rPr>
                <w:rFonts w:ascii="Segoe UI" w:hAnsi="Segoe UI"/>
                <w:b w:val="0"/>
                <w:i w:val="0"/>
                <w:color w:val="334155"/>
                <w:sz w:val="17"/>
              </w:rPr>
              <w:t>Configure 301 HTTP -&gt; HTTPS redirection on all endpoints (Added in web.config)</w:t>
            </w:r>
          </w:p>
        </w:tc>
        <w:tc>
          <w:tcPr>
            <w:tcW w:type="dxa" w:w="2016"/>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DevOps / Server Admin</w:t>
            </w:r>
          </w:p>
        </w:tc>
      </w:tr>
      <w:tr>
        <w:tc>
          <w:tcPr>
            <w:tcW w:type="dxa" w:w="1152"/>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Web Server</w:t>
            </w:r>
          </w:p>
        </w:tc>
        <w:tc>
          <w:tcPr>
            <w:tcW w:type="dxa" w:w="5184"/>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5. </w:t>
            </w:r>
            <w:r>
              <w:rPr>
                <w:rFonts w:ascii="Segoe UI" w:hAnsi="Segoe UI"/>
                <w:b w:val="0"/>
                <w:i w:val="0"/>
                <w:color w:val="334155"/>
                <w:sz w:val="17"/>
              </w:rPr>
              <w:t>Add Strict-Transport-Security (HSTS) response header in IIS (Added in web.config)</w:t>
            </w:r>
          </w:p>
        </w:tc>
        <w:tc>
          <w:tcPr>
            <w:tcW w:type="dxa" w:w="2016"/>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DevOps / Server Admin</w:t>
            </w:r>
          </w:p>
        </w:tc>
      </w:tr>
      <w:tr>
        <w:tc>
          <w:tcPr>
            <w:tcW w:type="dxa" w:w="1152"/>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Frontend</w:t>
            </w:r>
          </w:p>
        </w:tc>
        <w:tc>
          <w:tcPr>
            <w:tcW w:type="dxa" w:w="5184"/>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6. </w:t>
            </w:r>
            <w:r>
              <w:rPr>
                <w:rFonts w:ascii="Segoe UI" w:hAnsi="Segoe UI"/>
                <w:b w:val="0"/>
                <w:i w:val="0"/>
                <w:color w:val="334155"/>
                <w:sz w:val="17"/>
              </w:rPr>
              <w:t>Install Cookie Consent Banner (CMP) for analytics tracking (Added in templates/base.html)</w:t>
            </w:r>
          </w:p>
        </w:tc>
        <w:tc>
          <w:tcPr>
            <w:tcW w:type="dxa" w:w="2016"/>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w:t>
            </w:r>
          </w:p>
        </w:tc>
      </w:tr>
      <w:tr>
        <w:tc>
          <w:tcPr>
            <w:tcW w:type="dxa" w:w="1152"/>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Frontend</w:t>
            </w:r>
          </w:p>
        </w:tc>
        <w:tc>
          <w:tcPr>
            <w:tcW w:type="dxa" w:w="5184"/>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7. </w:t>
            </w:r>
            <w:r>
              <w:rPr>
                <w:rFonts w:ascii="Segoe UI" w:hAnsi="Segoe UI"/>
                <w:b w:val="0"/>
                <w:i w:val="0"/>
                <w:color w:val="334155"/>
                <w:sz w:val="17"/>
              </w:rPr>
              <w:t>Halt Google Analytics / pixel loading until user consent is granted (Google Consent Mode v2)</w:t>
            </w:r>
          </w:p>
        </w:tc>
        <w:tc>
          <w:tcPr>
            <w:tcW w:type="dxa" w:w="2016"/>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w:t>
            </w:r>
          </w:p>
        </w:tc>
      </w:tr>
      <w:tr>
        <w:tc>
          <w:tcPr>
            <w:tcW w:type="dxa" w:w="1152"/>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Frontend</w:t>
            </w:r>
          </w:p>
        </w:tc>
        <w:tc>
          <w:tcPr>
            <w:tcW w:type="dxa" w:w="5184"/>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8. </w:t>
            </w:r>
            <w:r>
              <w:rPr>
                <w:rFonts w:ascii="Segoe UI" w:hAnsi="Segoe UI"/>
                <w:b w:val="0"/>
                <w:i w:val="0"/>
                <w:color w:val="334155"/>
                <w:sz w:val="17"/>
              </w:rPr>
              <w:t>Implement Global Privacy Control (GPC) opt-out signal detection (Added in static/js/cookie-consent.js)</w:t>
            </w:r>
          </w:p>
        </w:tc>
        <w:tc>
          <w:tcPr>
            <w:tcW w:type="dxa" w:w="2016"/>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w:t>
            </w:r>
          </w:p>
        </w:tc>
      </w:tr>
      <w:tr>
        <w:tc>
          <w:tcPr>
            <w:tcW w:type="dxa" w:w="1152"/>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Footer</w:t>
            </w:r>
          </w:p>
        </w:tc>
        <w:tc>
          <w:tcPr>
            <w:tcW w:type="dxa" w:w="5184"/>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9. </w:t>
            </w:r>
            <w:r>
              <w:rPr>
                <w:rFonts w:ascii="Segoe UI" w:hAnsi="Segoe UI"/>
                <w:b w:val="0"/>
                <w:i w:val="0"/>
                <w:color w:val="334155"/>
                <w:sz w:val="17"/>
              </w:rPr>
              <w:t>Add "Do Not Sell My Personal Information" link in templates/base.html (Added in templates/base.html)</w:t>
            </w:r>
          </w:p>
        </w:tc>
        <w:tc>
          <w:tcPr>
            <w:tcW w:type="dxa" w:w="2016"/>
            <w:shd w:fill="FFFFFF"/>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Web Developer / Legal</w:t>
            </w:r>
          </w:p>
        </w:tc>
      </w:tr>
      <w:tr>
        <w:tc>
          <w:tcPr>
            <w:tcW w:type="dxa" w:w="1152"/>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jc w:val="center"/>
            </w:pPr>
            <w:r>
              <w:rPr>
                <w:rFonts w:ascii="Segoe UI" w:hAnsi="Segoe UI"/>
                <w:b/>
                <w:i w:val="0"/>
                <w:color w:val="16A34A"/>
                <w:sz w:val="17"/>
              </w:rPr>
              <w:t>☑ Done</w:t>
            </w:r>
          </w:p>
        </w:tc>
        <w:tc>
          <w:tcPr>
            <w:tcW w:type="dxa" w:w="1728"/>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1E293B"/>
                <w:sz w:val="17"/>
              </w:rPr>
              <w:t>Legal</w:t>
            </w:r>
          </w:p>
        </w:tc>
        <w:tc>
          <w:tcPr>
            <w:tcW w:type="dxa" w:w="5184"/>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i w:val="0"/>
                <w:color w:val="0284C7"/>
                <w:sz w:val="17"/>
              </w:rPr>
              <w:t xml:space="preserve">10. </w:t>
            </w:r>
            <w:r>
              <w:rPr>
                <w:rFonts w:ascii="Segoe UI" w:hAnsi="Segoe UI"/>
                <w:b w:val="0"/>
                <w:i w:val="0"/>
                <w:color w:val="334155"/>
                <w:sz w:val="17"/>
              </w:rPr>
              <w:t>Update templates/privacy-policy.html with current date &amp; disclosures (Updated in templates/privacy-policy.html)</w:t>
            </w:r>
          </w:p>
        </w:tc>
        <w:tc>
          <w:tcPr>
            <w:tcW w:type="dxa" w:w="2016"/>
            <w:shd w:fill="F8FAFC"/>
            <w:tcMar>
              <w:top w:w="90" w:type="dxa"/>
              <w:bottom w:w="90" w:type="dxa"/>
              <w:left w:w="100" w:type="dxa"/>
              <w:right w:w="100" w:type="dxa"/>
            </w:tcMar>
            <w:tcBorders>
              <w:top w:val="single" w:sz="4" w:space="0" w:color="E2E8F0"/>
              <w:bottom w:val="single" w:sz="4" w:space="0" w:color="E2E8F0"/>
              <w:left w:val="none"/>
              <w:right w:val="none"/>
            </w:tcBorders>
          </w:tcPr>
          <w:p>
            <w:pPr>
              <w:spacing w:before="0" w:after="0" w:line="264" w:lineRule="auto"/>
            </w:pPr>
            <w:r>
              <w:rPr>
                <w:rFonts w:ascii="Segoe UI" w:hAnsi="Segoe UI"/>
                <w:b w:val="0"/>
                <w:i w:val="0"/>
                <w:color w:val="475569"/>
                <w:sz w:val="17"/>
              </w:rPr>
              <w:t>Legal / Web Developer</w:t>
            </w:r>
          </w:p>
        </w:tc>
      </w:tr>
    </w:tbl>
    <w:sectPr w:rsidR="00FC693F" w:rsidRPr="0006063C" w:rsidSect="00034616">
      <w:headerReference w:type="default" r:id="rId9"/>
      <w:footerReference w:type="default" r:id="rId10"/>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94A3B8"/>
        <w:sz w:val="17"/>
      </w:rPr>
      <w:t>Confidential  •  Generated from Risk Assessment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Security &amp; Privacy Risk Remediation Plan  |  qhotels.co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