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55B"/>
          <w:sz w:val="36"/>
        </w:rPr>
        <w:t>INNRLY - CONTENT FIXES</w:t>
        <w:br/>
        <w:t>DEPLOYMENT GUIDE FOR DEVELOPER</w:t>
      </w:r>
    </w:p>
    <w:p>
      <w:pPr>
        <w:jc w:val="center"/>
      </w:pPr>
      <w:r>
        <w:rPr>
          <w:i/>
          <w:sz w:val="20"/>
        </w:rPr>
        <w:t>Prepared October 24, 2026 | Site: https://www.innrly.com</w:t>
        <w:br/>
        <w:t>Source: live review of all 33 published blog posts</w:t>
      </w:r>
    </w:p>
    <w:p>
      <w:pPr>
        <w:pStyle w:val="Heading1"/>
        <w:keepNext/>
      </w:pPr>
      <w:r>
        <w:rPr>
          <w:color w:val="11355B"/>
        </w:rPr>
        <w:t>Read this first - three rules</w:t>
      </w:r>
    </w:p>
    <w:p>
      <w:pPr>
        <w:pStyle w:val="ListBullet"/>
      </w:pPr>
      <w:r>
        <w:t>Edit the live publishing source, not only the Lovable copy. Production publishes 33 blog posts; the inspected local article file defines 22 and differs materially. If you edit only the local file, the live site will not change.</w:t>
      </w:r>
    </w:p>
    <w:p>
      <w:pPr>
        <w:pStyle w:val="ListBullet"/>
      </w:pPr>
      <w:r>
        <w:t>Keep every existing article address. Do not rename or delete URLs; if a title changes, keep the slug so inbound links and rankings survive.</w:t>
      </w:r>
    </w:p>
    <w:p>
      <w:pPr>
        <w:pStyle w:val="ListBullet"/>
      </w:pPr>
      <w:r>
        <w:t>Do not publish a capability, price, customer number or quote that the founder has not confirmed. Where this guide says 'confirm with the product owner', stop and ask before shipping.</w:t>
      </w:r>
    </w:p>
    <w:p>
      <w:pPr>
        <w:pStyle w:val="Heading1"/>
        <w:keepNext/>
      </w:pPr>
      <w:r>
        <w:rPr>
          <w:color w:val="11355B"/>
        </w:rPr>
        <w:t>Order of work</w:t>
      </w:r>
    </w:p>
    <w:p>
      <w:pPr>
        <w:keepNext w:val="0"/>
        <w:widowControl/>
      </w:pPr>
      <w:r>
        <w:rPr>
          <w:b w:val="0"/>
          <w:i w:val="0"/>
        </w:rPr>
        <w:t>P0 items are the ones that can mislead a buyer or a partner today. Do them first and deploy them together. P1 items are accuracy and substantiation fixes. P2 items are housekeeping.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Pages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Heading1"/>
        <w:keepNext/>
      </w:pPr>
      <w:r>
        <w:rPr>
          <w:color w:val="11355B"/>
        </w:rPr>
        <w:t>Step 1 - P0: fix today</w:t>
      </w:r>
    </w:p>
    <w:p>
      <w:pPr>
        <w:pStyle w:val="Heading2"/>
        <w:keepNext/>
      </w:pPr>
      <w:r>
        <w:rPr>
          <w:color w:val="11355B"/>
        </w:rPr>
        <w:t>1. blog/innrly-vs-inn-flow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Live article still reads as a head-to-head competitor piece and lists unverified competitor pricing, onboarding time, trial status and integration direction.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Rewrite as a partner overview. Keep the URL. Remove the $400-$700 per property/month figure, the 6-12 week onboarding claim, the one-way QuickBooks claim, the 'no real trial' claim, and the M3 certification wording. Use: 'Innrly + Inn-Flow: The Automation Layer. Inn-Flow remains the accounting system of record. A proposed Innrly integration is on the roadmap; confirm availability, supported data and workflow before planning deployment.' Do not describe the planned data push as live.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Approved partner positioning; M3's Sept 29 announcement does not cover Inn-Flow.</w:t>
      </w:r>
    </w:p>
    <w:p>
      <w:pPr>
        <w:pStyle w:val="Heading2"/>
        <w:keepNext/>
      </w:pPr>
      <w:r>
        <w:rPr>
          <w:color w:val="11355B"/>
        </w:rPr>
        <w:t>2. blog/ap-automation-hotels; blog/hotel-back-office-automation; blog/innrly-vs-inn-flow; blog/multi-property-accounting-software; blog/multi-property-hotel-accounting-software; blog/night-audit-automation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Six articles describe Innrly as a certified / officially certified M3 partner. M3's announcement states Associate Partner.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Replace every 'certified' / 'officially certified' M3 phrase with 'M3 Associate Partner'. Narrow integration wording to GL-coded invoices pushed into M3. Do not state general night-audit journal posting to M3 as available until it is documented.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https://www.m3as.com/press-release/innrly-joins-m3s-partner-ecosystem/</w:t>
      </w:r>
    </w:p>
    <w:p>
      <w:pPr>
        <w:pStyle w:val="Heading2"/>
        <w:keepNext/>
      </w:pPr>
      <w:r>
        <w:rPr>
          <w:color w:val="11355B"/>
        </w:rPr>
        <w:t>3. blog/hyperpersonalization-20-leveraging-ai-and-biometric-data-for-bespoke-guest-experiences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Article states Innrly provides the data foundation for guest sleep, stress, health and biometric personalization. Not established, and conflicts with the approved no-PHI position.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Delete the Innrly capability claim. Rewrite as industry commentary about consent-based, non-sensitive guest preferences, with no Innrly product linkage.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Approved no-PHI guardrail; no evidence of such a capability.</w:t>
      </w:r>
    </w:p>
    <w:p>
      <w:pPr>
        <w:pStyle w:val="Heading2"/>
        <w:keepNext/>
      </w:pPr>
      <w:r>
        <w:rPr>
          <w:color w:val="11355B"/>
        </w:rPr>
        <w:t>4. blog/smarter-timeclock-system-innrly; blog/labor-cost-blind-spots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Absolute and unsupported timeclock claims: 'tamper-proof' Face ID, 'complete elimination of buddy punching', '95% reduction in timesheet errors', 'automatic overtime calculations ensure compliance', 5-15% labor-cost reduction, GPS mobile punches, payroll integration.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Remove the absolutes and the percentages. Use: 'Innrly Shift uses Face-ID timeclock punches to help reduce unauthorized clock-ins and support labor reporting. Employers must configure lawful timekeeping practices and obtain required employee notices and consent before biometric enrollment.' Keep Face ID only - no fingerprints. Do not imply Apple Face ID certification. Confirm GPS punching and payroll connections with the product owner before publishing them.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Product-owner confirmation required; BIPA-style consent practice is employer-configured.</w:t>
      </w:r>
    </w:p>
    <w:p>
      <w:pPr>
        <w:pStyle w:val="Heading1"/>
        <w:keepNext/>
      </w:pPr>
      <w:r>
        <w:rPr>
          <w:color w:val="11355B"/>
        </w:rPr>
        <w:t>Step 2 - P1: accuracy and substantiation</w:t>
      </w:r>
    </w:p>
    <w:p>
      <w:pPr>
        <w:pStyle w:val="Heading2"/>
        <w:keepNext/>
      </w:pPr>
      <w:r>
        <w:rPr>
          <w:color w:val="11355B"/>
        </w:rPr>
        <w:t>5. blog/hotel-labor-cost-percentage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Percentage formula omits the x100 step; revenue guidance universally excludes OTA commissions and forfeited deposits; segment ranges, benefit inflation and savings percentages are unsourced; 'geofenced clock-in eliminates buddy-punching' is absolute.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Correct to: Labor cost % = (total labor cost / total revenue) x 100. Say the denominator depends on accounting policy (gross vs net, wages-only vs fully loaded) and ask the accountant to approve it. Remove or label every benchmark and savings figure as illustrative. Replace the geofence sentence with: location checks reduce, but do not establish, identity.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https://www.dol.gov/agencies/whd/fact-sheets/22-flsa-hours-worked</w:t>
      </w:r>
    </w:p>
    <w:p>
      <w:pPr>
        <w:pStyle w:val="Heading2"/>
        <w:keepNext/>
      </w:pPr>
      <w:r>
        <w:rPr>
          <w:color w:val="11355B"/>
        </w:rPr>
        <w:t>6. blog/mpor-explained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Confuses minutes per occupied room-night with minutes per room actually cleaned; uncited benchmarks; universal 15%-over-benchmark diagnosis; 8-15% alleged overpayment.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Keep the 3,840 / 120 = 32 example but label it explicitly hypothetical. Define the denominator (occupied room-nights vs rooms cleaned) and explain they differ when stayovers are not serviced. Delete the benchmark ranges, the 8-15% overpayment figure and the universal 15% diagnosis.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STR chain-scale methodology: https://www.costar.com/products/str-benchmark/resources/guidelines/str-chain-scales</w:t>
      </w:r>
    </w:p>
    <w:p>
      <w:pPr>
        <w:pStyle w:val="Heading2"/>
        <w:keepNext/>
      </w:pPr>
      <w:r>
        <w:rPr>
          <w:color w:val="11355B"/>
        </w:rPr>
        <w:t>7. blog/night-audit-automation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HotSOS is grouped with PMS export formats; HotSOS is an operations / service-optimization product. Universal brand-specific CSV/XML/PDF assertions are undocumented.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Move HotSOS out of the PMS list and describe it as operations software. Remove universal export-format claims; state only formats documented for the specific product version and connection.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https://www.amadeus-hospitality.com/service-optimization-software/hotsos/</w:t>
      </w:r>
    </w:p>
    <w:p>
      <w:pPr>
        <w:pStyle w:val="Heading2"/>
        <w:keepNext/>
      </w:pPr>
      <w:r>
        <w:rPr>
          <w:color w:val="11355B"/>
        </w:rPr>
        <w:t>8. blog/multi-property-accounting-software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Calls Otelier a general-ledger suite; separate-login, implementation and quoted-cost generalizations are unsupported.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Say Otelier offers hotel finance, reconciliation, BI and planning tools that can work with an accounting system. Remove the cost, timeline and property-count cutoff generalizations.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https://otelier.io/products/ ; https://otelier.io/products/rec/</w:t>
      </w:r>
    </w:p>
    <w:p>
      <w:pPr>
        <w:pStyle w:val="Heading2"/>
        <w:keepNext/>
      </w:pPr>
      <w:r>
        <w:rPr>
          <w:color w:val="11355B"/>
        </w:rPr>
        <w:t>9. blog/backofhouse-robotics-solving-labor-shortages-with-ai-chefs-and-automated-housekeeping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States 'INNRLY integrates with robotic systems'; says robots work 24/7 without breaks; cites a 1.2-million hotel labor deficit for 2025 with no matching primary source.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Delete the robotics-integration claim unless a named, available connector exists. Replace the 24/7 sentence with a qualified description covering charging, maintenance, safety and supervision. Replace the 1.2-million figure with a correctly dated, scoped source.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BLS's 1.2m figure was leisure-and-hospitality employment below Feb 2020 (Dec 2021), not a 2025 hotel vacancy estimate. AHLA Feb 2025: 65% of surveyed hotels reported staffing shortages, averaging six to seven open positions per property - https://www.ahla.com/news/65-surveyed-hotels-report-staffing-shortages</w:t>
      </w:r>
    </w:p>
    <w:p>
      <w:pPr>
        <w:pStyle w:val="Heading2"/>
        <w:keepNext/>
      </w:pPr>
      <w:r>
        <w:rPr>
          <w:color w:val="11355B"/>
        </w:rPr>
        <w:t>10. blog/ota-commission-audit; blog/ota-reconciliation-guide; blog/hotel-ota-commission-reconciliation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Universal 30-day dispute deadline; 80%+ dispute success; recovery of historical cancellations; uncited loss and recovery ranges.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Say deadlines and commission rights follow each channel's current agreement, rate and stay/cancel facts. Remove the 30-day rule, the 80% success rate and guaranteed-recovery wording. Frame a mismatch as a review flag, not proof of overcharging.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Channel agreements govern; no supporting evidence shown.</w:t>
      </w:r>
    </w:p>
    <w:p>
      <w:pPr>
        <w:pStyle w:val="Heading2"/>
        <w:keepNext/>
      </w:pPr>
      <w:r>
        <w:rPr>
          <w:color w:val="11355B"/>
        </w:rPr>
        <w:t>11. blog/hotels-losing-thousands-clc-mistakes; blog/ditching-excel-budgeting-software; blog/select-service-back-office-savings; blog/ap-automation-hotels; blog/hotel-back-office-automation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'Real results' numbers with no customer evidence: 90% less data entry, 40% fewer disputes, 15% more commissions, 180+ hours saved, 70% faster, 90% fewer errors, 88% spreadsheet-error study, 40-180 hours per month, 95% capture / 80% auto-code, zero missed discounts or duplicates.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Delete the numbers or label each one as a hypothetical scenario with its method shown. Never present ranges as typical results. Replace with qualitative benefits plus an invitation to a measured pilot. A calculated cost of released staff time is not automatically cash saved.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No customer evidence, study population or methodology is shown on the pages.</w:t>
      </w:r>
    </w:p>
    <w:p>
      <w:pPr>
        <w:pStyle w:val="Heading2"/>
        <w:keepNext/>
      </w:pPr>
      <w:r>
        <w:rPr>
          <w:color w:val="11355B"/>
        </w:rPr>
        <w:t>12. blog/hospitality-accounting-services-vs-software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Unsourced competing-service price ranges and 15-20 day close-time claims; comparison is not like-for-like scope.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Remove the price ranges and close-time claims, or replace them with current, attributed evidence comparing equivalent scope.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No sources shown on the page.</w:t>
      </w:r>
    </w:p>
    <w:p>
      <w:pPr>
        <w:pStyle w:val="Heading2"/>
        <w:keepNext/>
      </w:pPr>
      <w:r>
        <w:rPr>
          <w:color w:val="11355B"/>
        </w:rPr>
        <w:t>13. blog/regenerative-tourism-sustainability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Implies INNRLY has biodiversity, carbon, water or regenerative-impact reporting; duplicate step in the how-to list.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Remove the product-capability framing and the duplicate step. Frame the article as industry discussion, not an Innrly module.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No product confirmation for such reporting.</w:t>
      </w:r>
    </w:p>
    <w:p>
      <w:pPr>
        <w:pStyle w:val="Heading2"/>
        <w:keepNext/>
      </w:pPr>
      <w:r>
        <w:rPr>
          <w:color w:val="11355B"/>
        </w:rPr>
        <w:t>14. blog/us-hospitality-2025; blog/labor-shortages-urban-revitalization; blog/future-of-hospitality-accounting (and similar trend posts)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2026 posts written as if 2025 is approaching; dated forecasts presented as current; broad product capability claims.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Mark these explicitly historical, or update with dated sources and a visible 'updated' date. Narrow any capability sentence to what is shipping today.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Publication dates and body text conflict with the current date.</w:t>
      </w:r>
    </w:p>
    <w:p>
      <w:pPr>
        <w:pStyle w:val="Heading1"/>
        <w:keepNext/>
      </w:pPr>
      <w:r>
        <w:rPr>
          <w:color w:val="11355B"/>
        </w:rPr>
        <w:t>Step 3 - P2: housekeeping</w:t>
      </w:r>
    </w:p>
    <w:p>
      <w:pPr>
        <w:pStyle w:val="Heading2"/>
        <w:keepNext/>
      </w:pPr>
      <w:r>
        <w:rPr>
          <w:color w:val="11355B"/>
        </w:rPr>
        <w:t>15. blog/best-hotel-accounting-software; blog/hospitality-accounting-services-vs-software; blog/quickbooks-for-hotels-limits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Extracted article bodies are very short (about 150 words each) - possible truncation, and thin for a buyer-intent page.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Confirm whether the body was truncated in production. If not, expand with substantive, sourced coverage before promoting the pages.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Word counts from the live extraction include shared footer text, so the article body is even shorter.</w:t>
      </w:r>
    </w:p>
    <w:p>
      <w:pPr>
        <w:pStyle w:val="Heading2"/>
        <w:keepNext/>
      </w:pPr>
      <w:r>
        <w:rPr>
          <w:color w:val="11355B"/>
        </w:rPr>
        <w:t>16. 11 posts showing 'August 20, 2026'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Bulk-assigned publication dates across many posts.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Set each post's real publication and last-updated date; show the updated date when content materially changes.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Date pattern visible across the live posts.</w:t>
      </w:r>
    </w:p>
    <w:p>
      <w:pPr>
        <w:pStyle w:val="Heading2"/>
        <w:keepNext/>
      </w:pPr>
      <w:r>
        <w:rPr>
          <w:color w:val="11355B"/>
        </w:rPr>
        <w:t>17. Every edited post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Titles, summaries, FAQ text, JSON-LD and social preview text must match the corrected body.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Update all metadata with the body so snippets and structured data stop repeating removed claims.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Structured data is generated from the same fields.</w:t>
      </w:r>
    </w:p>
    <w:p>
      <w:pPr>
        <w:pStyle w:val="Heading2"/>
        <w:keepNext/>
      </w:pPr>
      <w:r>
        <w:rPr>
          <w:color w:val="11355B"/>
        </w:rPr>
        <w:t>18. Non-blog pages (home, pricing, industries, case studies)</w:t>
      </w:r>
    </w:p>
    <w:p>
      <w:pPr>
        <w:keepNext/>
        <w:widowControl/>
      </w:pPr>
      <w:r>
        <w:rPr>
          <w:b/>
          <w:i w:val="0"/>
        </w:rPr>
        <w:t>Issue</w:t>
      </w:r>
    </w:p>
    <w:p>
      <w:pPr>
        <w:keepNext w:val="0"/>
        <w:widowControl/>
      </w:pPr>
      <w:r>
        <w:rPr>
          <w:b w:val="0"/>
          <w:i w:val="0"/>
        </w:rPr>
        <w:t>Named testimonials and remaining hard numbers were flagged in the earlier audit and are outside this blog review.</w:t>
      </w:r>
    </w:p>
    <w:p>
      <w:pPr>
        <w:keepNext/>
        <w:widowControl/>
      </w:pPr>
      <w:r>
        <w:rPr>
          <w:b/>
          <w:i w:val="0"/>
        </w:rPr>
        <w:t>Do this</w:t>
      </w:r>
    </w:p>
    <w:p>
      <w:pPr>
        <w:keepNext w:val="0"/>
        <w:widowControl/>
      </w:pPr>
      <w:r>
        <w:rPr>
          <w:b w:val="0"/>
          <w:i w:val="0"/>
        </w:rPr>
        <w:t>Authenticate named testimonials or restore role-based attributions; keep stats vague until evidence and consent exist.</w:t>
      </w:r>
    </w:p>
    <w:p>
      <w:pPr>
        <w:keepNext/>
        <w:widowControl/>
      </w:pPr>
      <w:r>
        <w:rPr>
          <w:b/>
          <w:i w:val="0"/>
        </w:rPr>
        <w:t>Evidence / source</w:t>
      </w:r>
    </w:p>
    <w:p>
      <w:pPr>
        <w:keepNext w:val="0"/>
        <w:widowControl/>
      </w:pPr>
      <w:r>
        <w:rPr>
          <w:b w:val="0"/>
          <w:i/>
        </w:rPr>
        <w:t>Earlier audit finding; not re-verified in this review.</w:t>
      </w:r>
    </w:p>
    <w:p>
      <w:pPr>
        <w:pStyle w:val="Heading1"/>
        <w:keepNext/>
      </w:pPr>
      <w:r>
        <w:rPr>
          <w:color w:val="11355B"/>
        </w:rPr>
        <w:t>Step 4 - Deploy</w:t>
      </w:r>
    </w:p>
    <w:p>
      <w:pPr>
        <w:pStyle w:val="ListBullet"/>
      </w:pPr>
      <w:r>
        <w:t>Apply the P0 edits to the live publishing source and rebuild.</w:t>
      </w:r>
    </w:p>
    <w:p>
      <w:pPr>
        <w:pStyle w:val="ListBullet"/>
      </w:pPr>
      <w:r>
        <w:t>Deploy to production. Do not leave a noindex or staging header on the production response.</w:t>
      </w:r>
    </w:p>
    <w:p>
      <w:pPr>
        <w:pStyle w:val="ListBullet"/>
      </w:pPr>
      <w:r>
        <w:t>Recheck each edited address before moving to P1.</w:t>
      </w:r>
    </w:p>
    <w:p>
      <w:pPr>
        <w:pStyle w:val="ListBullet"/>
      </w:pPr>
      <w:r>
        <w:t>Deploy P1 as one release, then P2.</w:t>
      </w:r>
    </w:p>
    <w:p>
      <w:pPr>
        <w:pStyle w:val="ListBullet"/>
      </w:pPr>
      <w:r>
        <w:t>Keep the M3 announcement article's roadmap sentence attributed to M3's announcement; do not restate planned features as available.</w:t>
      </w:r>
    </w:p>
    <w:p>
      <w:pPr>
        <w:pStyle w:val="Heading1"/>
        <w:keepNext/>
      </w:pPr>
      <w:r>
        <w:rPr>
          <w:color w:val="11355B"/>
        </w:rPr>
        <w:t>Step 5 - Verify after each release</w:t>
      </w:r>
    </w:p>
    <w:p>
      <w:pPr>
        <w:pStyle w:val="ListBullet"/>
      </w:pPr>
      <w:r>
        <w:t>Open each edited page in a browser and read the visible text - the removed number must be gone from the body, the FAQ and the social preview.</w:t>
      </w:r>
    </w:p>
    <w:p>
      <w:pPr>
        <w:pStyle w:val="ListBullet"/>
      </w:pPr>
      <w:r>
        <w:t>Check the page's structured data (view source, look for the JSON-LD block) still matches the corrected copy.</w:t>
      </w:r>
    </w:p>
    <w:p>
      <w:pPr>
        <w:pStyle w:val="ListBullet"/>
      </w:pPr>
      <w:r>
        <w:t>Confirm the sitemap still lists every article once, and that /robots.txt and /sitemap.xml return 200 with the www.innrly.com host.</w:t>
      </w:r>
    </w:p>
    <w:p>
      <w:pPr>
        <w:pStyle w:val="ListBullet"/>
      </w:pPr>
      <w:r>
        <w:t>In Google Search Console, request indexing for the edited pages and resubmit the sitemap.</w:t>
      </w:r>
    </w:p>
    <w:p>
      <w:pPr>
        <w:pStyle w:val="ListBullet"/>
      </w:pPr>
      <w:r>
        <w:t>Spot-check the two partner pages: /integrations/m3 must read 'M3 Associate Partner'; /integrations/inn-flow must read as a partner integration, not a competitor.</w:t>
      </w:r>
    </w:p>
    <w:p>
      <w:pPr>
        <w:pStyle w:val="Heading1"/>
        <w:keepNext/>
      </w:pPr>
      <w:r>
        <w:rPr>
          <w:color w:val="11355B"/>
        </w:rPr>
        <w:t>Step 6 - Rollback</w:t>
      </w:r>
    </w:p>
    <w:p>
      <w:pPr>
        <w:pStyle w:val="ListBullet"/>
      </w:pPr>
      <w:r>
        <w:t>Keep the previous build or the pre-edit export of each article. If a release must be reversed, restore the article files and metadata together, then rebuild - restoring only the body leaves the old FAQ and preview text in place.</w:t>
      </w:r>
    </w:p>
    <w:p>
      <w:pPr>
        <w:pStyle w:val="Heading1"/>
        <w:keepNext/>
      </w:pPr>
      <w:r>
        <w:rPr>
          <w:color w:val="11355B"/>
        </w:rPr>
        <w:t>Guardrails that must stay in place</w:t>
      </w:r>
    </w:p>
    <w:p>
      <w:pPr>
        <w:pStyle w:val="ListBullet"/>
      </w:pPr>
      <w:r>
        <w:t>M3 is described as 'M3 Associate Partner' - never 'certified'.</w:t>
      </w:r>
    </w:p>
    <w:p>
      <w:pPr>
        <w:pStyle w:val="ListBullet"/>
      </w:pPr>
      <w:r>
        <w:t>Inn-Flow is a partner and the accounting system of record - never a competitor.</w:t>
      </w:r>
    </w:p>
    <w:p>
      <w:pPr>
        <w:pStyle w:val="ListBullet"/>
      </w:pPr>
      <w:r>
        <w:t>No PHI, no guest health or biometric data claims.</w:t>
      </w:r>
    </w:p>
    <w:p>
      <w:pPr>
        <w:pStyle w:val="ListBullet"/>
      </w:pPr>
      <w:r>
        <w:t>Timeclock is Face ID only - no fingerprints; employee notices and consent are obtained before enrollment, on the tablet, per employee.</w:t>
      </w:r>
    </w:p>
    <w:p>
      <w:pPr>
        <w:pStyle w:val="ListBullet"/>
      </w:pPr>
      <w:r>
        <w:t>Vendor payments run through a third-party provider under the customer's direct contract - Innrly does not hold funds or guarantee settlement.</w:t>
      </w:r>
    </w:p>
    <w:p>
      <w:pPr>
        <w:pStyle w:val="ListBullet"/>
      </w:pPr>
      <w:r>
        <w:t>No fabricated stats, reviews or aggregate ratings.</w:t>
      </w:r>
    </w:p>
    <w:p>
      <w:pPr>
        <w:pStyle w:val="Heading1"/>
        <w:keepNext/>
      </w:pPr>
      <w:r>
        <w:rPr>
          <w:color w:val="11355B"/>
        </w:rPr>
        <w:t>Files in this package</w:t>
      </w:r>
    </w:p>
    <w:p>
      <w:pPr>
        <w:pStyle w:val="ListBullet"/>
      </w:pPr>
      <w:r>
        <w:t>INNRLY_Live_Blog_Content_Audit_2026-10-24.docx - the full audit, with the coverage register of all 33 posts.</w:t>
      </w:r>
    </w:p>
    <w:p>
      <w:pPr>
        <w:pStyle w:val="ListBullet"/>
      </w:pPr>
      <w:r>
        <w:t>innrly-content-fixes-2026-10-24.csv - one row per fix, sortable by priority.</w:t>
      </w:r>
    </w:p>
    <w:p>
      <w:pPr>
        <w:pStyle w:val="ListBullet"/>
      </w:pPr>
      <w:r>
        <w:t>INNRLY_Content_Fixes_Developer_Guide_2026-10-24.docx - this guide.</w:t>
      </w:r>
    </w:p>
    <w:p>
      <w:pPr>
        <w:keepNext w:val="0"/>
        <w:widowControl/>
      </w:pPr>
      <w:r>
        <w:rPr>
          <w:b w:val="0"/>
          <w:i/>
        </w:rPr>
        <w:t>This review examined the visible text of the live posts. It does not authenticate testimonials, private integrations, contracts or calculation inputs, and it is not legal advice.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INNRLY | Content fixes developer guide | October 24, 2026 | Page </w:t>
    </w:r>
    <w:fldSimple w:instr="PAGE">
      <w:r>
        <w:rPr>
          <w:sz w:val="16"/>
        </w:rPr>
        <w:t>1</w:t>
      </w:r>
    </w:fldSimple>
    <w:r>
      <w:rPr>
        <w:sz w:val="16"/>
      </w:rPr>
      <w:t xml:space="preserve"> of </w:t>
    </w:r>
    <w:fldSimple w:instr="NUMPAGES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