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00" w:before="160"/>
      </w:pPr>
      <w:r>
        <w:t xml:space="preserve">Verdict: further corrections are required</w:t>
      </w:r>
    </w:p>
    <w:p>
      <w:pPr>
        <w:spacing w:after="100"/>
      </w:pPr>
      <w:r>
        <w:rPr>
          <w:b/>
          <w:bCs/>
        </w:rPr>
        <w:t xml:space="preserve">INNRLY — LIVE BLOG CONTENT AUDIT</w:t>
      </w:r>
    </w:p>
    <w:p>
      <w:pPr>
        <w:spacing w:after="100"/>
      </w:pPr>
      <w:r>
        <w:rPr>
          <w:b w:val="false"/>
          <w:bCs w:val="false"/>
        </w:rPr>
        <w:t xml:space="preserve">Checked October 24, 2026 | https://innrly.com</w:t>
      </w:r>
    </w:p>
    <w:p>
      <w:pPr>
        <w:spacing w:after="100"/>
      </w:pPr>
      <w:r>
        <w:rPr>
          <w:b w:val="false"/>
          <w:bCs w:val="false"/>
        </w:rPr>
        <w:t xml:space="preserve">Read all 33 unique articles linked from both the live blog index and live sitemap. All returned HTTP 200. This is a risk-focused text review, not a guarantee that every statement is true. No website or hostname changes were made.</w:t>
      </w:r>
    </w:p>
    <w:p>
      <w:pPr>
        <w:pStyle w:val="Heading2"/>
        <w:spacing w:after="100" w:before="160"/>
      </w:pPr>
      <w:r>
        <w:t xml:space="preserve">1. Restore partner-safe Inn-Flow content — urgent</w:t>
      </w:r>
    </w:p>
    <w:p>
      <w:pPr>
        <w:spacing w:after="90"/>
      </w:pPr>
      <w:hyperlink w:history="1" r:id="rIddyddkzpqimzwsktv1i9yp">
        <w:r>
          <w:rPr>
            <w:rStyle w:val="Hyperlink"/>
            <w:sz w:val="19"/>
            <w:szCs w:val="19"/>
          </w:rPr>
          <w:t xml:space="preserve">Affected article: Innrly vs Inn-Flow</w:t>
        </w:r>
      </w:hyperlink>
    </w:p>
    <w:p>
      <w:pPr>
        <w:spacing w:after="100"/>
      </w:pPr>
      <w:r>
        <w:rPr>
          <w:b w:val="false"/>
          <w:bCs w:val="false"/>
        </w:rPr>
        <w:t xml:space="preserve">Live copy says “They compete for the same buyer,” claims $400–$700 per property, 6–12-week onboarding, one-way QuickBooks integration, and no real trial. These comparisons lack supporting evidence and conflict with your approved partner positioning.</w:t>
      </w:r>
    </w:p>
    <w:p>
      <w:pPr>
        <w:spacing w:after="100"/>
      </w:pPr>
      <w:r>
        <w:rPr>
          <w:b w:val="false"/>
          <w:bCs w:val="false"/>
        </w:rPr>
        <w:t xml:space="preserve">Replace the article title and body with a partner overview. Preserve the existing URL unless a redirect is deliberately planned. Remove the pricing, trial, brand-depth and implementation comparisons.</w:t>
      </w:r>
    </w:p>
    <w:p>
      <w:pPr>
        <w:spacing w:after="100"/>
      </w:pPr>
      <w:r>
        <w:rPr>
          <w:b w:val="false"/>
          <w:bCs w:val="false"/>
        </w:rPr>
        <w:t xml:space="preserve">Suggested wording: “Innrly + Inn-Flow: The Automation Layer. Inn-Flow remains the accounting system of record. A proposed Innrly integration is on the roadmap; confirm availability, supported data and workflow before planning deployment.” Do not describe the planned data push as live.</w:t>
      </w:r>
    </w:p>
    <w:p>
      <w:pPr>
        <w:pStyle w:val="Heading2"/>
        <w:spacing w:after="100" w:before="160"/>
      </w:pPr>
      <w:r>
        <w:t xml:space="preserve">2. Correct M3 status in six articles</w:t>
      </w:r>
    </w:p>
    <w:p>
      <w:pPr>
        <w:spacing w:after="100"/>
      </w:pPr>
      <w:r>
        <w:rPr>
          <w:b w:val="false"/>
          <w:bCs w:val="false"/>
        </w:rPr>
        <w:t xml:space="preserve">Certification wording remains in A/P Automation, Hotel Back-Office Automation, Innrly vs Inn-Flow, both Multi-Property Accounting articles, and Night Audit Automation. See coverage pages for their addresses.</w:t>
      </w:r>
    </w:p>
    <w:p>
      <w:pPr>
        <w:spacing w:after="100"/>
      </w:pPr>
      <w:r>
        <w:rPr>
          <w:b w:val="false"/>
          <w:bCs w:val="false"/>
        </w:rPr>
        <w:t xml:space="preserve">Use “M3 Associate Partner.” Certification is not established by M3’s announcement. Narrow integration wording to approved, GL-coded invoices pushed into M3. General night-audit journal posting to M3 needs separate documented confirmation.</w:t>
      </w:r>
    </w:p>
    <w:p>
      <w:pPr>
        <w:spacing w:after="90"/>
      </w:pPr>
      <w:hyperlink w:history="1" r:id="rIdaipad7jsgnjgu2dwgxrak">
        <w:r>
          <w:rPr>
            <w:rStyle w:val="Hyperlink"/>
            <w:sz w:val="19"/>
            <w:szCs w:val="19"/>
          </w:rPr>
          <w:t xml:space="preserve">Primary source: M3’s September 29 announcement</w:t>
        </w:r>
      </w:hyperlink>
    </w:p>
    <w:p>
      <w:pPr>
        <w:spacing w:after="100"/>
        <w:sectPr>
          <w:footerReference w:type="default" r:id="rId6"/>
          <w:pgSz w:w="12240" w:h="15840" w:orient="portrait"/>
          <w:pgMar w:top="850" w:right="1000" w:bottom="850" w:left="1000" w:header="708" w:footer="708" w:gutter="0"/>
          <w:pgNumType/>
          <w:docGrid w:linePitch="360"/>
        </w:sectPr>
      </w:pPr>
      <w:r>
        <w:rPr>
          <w:b w:val="false"/>
          <w:bCs w:val="false"/>
        </w:rPr>
        <w:t xml:space="preserve">The dedicated M3 announcement article uses the correct Associate Partner wording. Keep its fall-2026 roadmap statement attributed to the original announcement, not as proof that every planned feature is now available.</w:t>
      </w:r>
    </w:p>
    <w:p>
      <w:pPr>
        <w:pStyle w:val="Heading2"/>
        <w:spacing w:after="100" w:before="160"/>
      </w:pPr>
      <w:r>
        <w:t xml:space="preserve">Labor, biometrics and accounting accuracy</w:t>
      </w:r>
    </w:p>
    <w:p>
      <w:pPr>
        <w:pStyle w:val="Heading2"/>
        <w:spacing w:after="100" w:before="160"/>
      </w:pPr>
      <w:r>
        <w:t xml:space="preserve">3. Fix the labor-cost formula and revenue guidance</w:t>
      </w:r>
    </w:p>
    <w:p>
      <w:pPr>
        <w:spacing w:after="90"/>
      </w:pPr>
      <w:hyperlink w:history="1" r:id="rIdxldg--gcchy05a8xciag2">
        <w:r>
          <w:rPr>
            <w:rStyle w:val="Hyperlink"/>
            <w:sz w:val="19"/>
            <w:szCs w:val="19"/>
          </w:rPr>
          <w:t xml:space="preserve">Hotel Labor Cost Percentage</w:t>
        </w:r>
      </w:hyperlink>
    </w:p>
    <w:p>
      <w:pPr>
        <w:spacing w:after="100"/>
      </w:pPr>
      <w:r>
        <w:rPr>
          <w:b w:val="false"/>
          <w:bCs w:val="false"/>
        </w:rPr>
        <w:t xml:space="preserve">The percentage formula omits ×100. Correct it to: Labor cost % = (total labor cost ÷ total revenue) × 100. Compare the same time period and define wages-only versus fully loaded labor consistently.</w:t>
      </w:r>
    </w:p>
    <w:p>
      <w:pPr>
        <w:spacing w:after="100"/>
      </w:pPr>
      <w:r>
        <w:rPr>
          <w:b w:val="false"/>
          <w:bCs w:val="false"/>
        </w:rPr>
        <w:t xml:space="preserve">Do not universally exclude OTA commissions and forfeited deposits from revenue. Recognition and gross/net presentation depend on accounting policy and the arrangement. Ask the accountant to approve the denominator. The article’s segment ranges, benefit inflation figures and savings percentages have no visible supporting dataset.</w:t>
      </w:r>
    </w:p>
    <w:p>
      <w:pPr>
        <w:spacing w:after="100"/>
      </w:pPr>
      <w:r>
        <w:rPr>
          <w:b w:val="false"/>
          <w:bCs w:val="false"/>
        </w:rPr>
        <w:t xml:space="preserve">“Geofenced clock-in eliminates buddy-punching” is too absolute. Location checks do not establish employee identity. Also, scheduling overtime limits do not remove the duty to record and pay compensable hours worked.</w:t>
      </w:r>
    </w:p>
    <w:p>
      <w:pPr>
        <w:spacing w:after="90"/>
      </w:pPr>
      <w:hyperlink w:history="1" r:id="rIdwu20tlqcyeslolswobnrp">
        <w:r>
          <w:rPr>
            <w:rStyle w:val="Hyperlink"/>
            <w:sz w:val="19"/>
            <w:szCs w:val="19"/>
          </w:rPr>
          <w:t xml:space="preserve">Primary source: U.S. DOL — hours worked</w:t>
        </w:r>
      </w:hyperlink>
    </w:p>
    <w:p>
      <w:pPr>
        <w:pStyle w:val="Heading2"/>
        <w:spacing w:after="100" w:before="160"/>
      </w:pPr>
      <w:r>
        <w:t xml:space="preserve">4. Correct MPOR interpretation</w:t>
      </w:r>
    </w:p>
    <w:p>
      <w:pPr>
        <w:spacing w:after="90"/>
      </w:pPr>
      <w:hyperlink w:history="1" r:id="rIds8gjoo8lszi58gh7ajnkj">
        <w:r>
          <w:rPr>
            <w:rStyle w:val="Hyperlink"/>
            <w:sz w:val="19"/>
            <w:szCs w:val="19"/>
          </w:rPr>
          <w:t xml:space="preserve">MPOR Explained</w:t>
        </w:r>
      </w:hyperlink>
    </w:p>
    <w:p>
      <w:pPr>
        <w:spacing w:after="100"/>
      </w:pPr>
      <w:r>
        <w:rPr>
          <w:b w:val="false"/>
          <w:bCs w:val="false"/>
        </w:rPr>
        <w:t xml:space="preserve">The worked example 3,840 ÷ 120 = 32 is mathematically correct; keep it explicitly hypothetical. Distinguish minutes per occupied room-night from minutes per room actually cleaned. Those denominators are not interchangeable when stayovers are not serviced.</w:t>
      </w:r>
    </w:p>
    <w:p>
      <w:pPr>
        <w:spacing w:after="100"/>
      </w:pPr>
      <w:r>
        <w:rPr>
          <w:b w:val="false"/>
          <w:bCs w:val="false"/>
        </w:rPr>
        <w:t xml:space="preserve">Remove uncited “industry benchmarks,” 8%–15% overpayment and universal 15%-over-benchmark diagnosis. Higher MPOR can reflect suites, checkout mix, accessibility requirements, service standards or time included in the numerator—not necessarily waste.</w:t>
      </w:r>
    </w:p>
    <w:p>
      <w:pPr>
        <w:pStyle w:val="Heading2"/>
        <w:spacing w:after="100" w:before="160"/>
      </w:pPr>
      <w:r>
        <w:t xml:space="preserve">5. Remove biometric and compliance guarantees</w:t>
      </w:r>
    </w:p>
    <w:p>
      <w:pPr>
        <w:spacing w:after="90"/>
      </w:pPr>
      <w:hyperlink w:history="1" r:id="rIdaulbqiwew2hol2dmnxllh">
        <w:r>
          <w:rPr>
            <w:rStyle w:val="Hyperlink"/>
            <w:sz w:val="19"/>
            <w:szCs w:val="19"/>
          </w:rPr>
          <w:t xml:space="preserve">Smarter TimeClock</w:t>
        </w:r>
      </w:hyperlink>
    </w:p>
    <w:p>
      <w:pPr>
        <w:spacing w:after="90"/>
      </w:pPr>
      <w:hyperlink w:history="1" r:id="rIdfp5abhn8bhsqi4zzmit2u">
        <w:r>
          <w:rPr>
            <w:rStyle w:val="Hyperlink"/>
            <w:sz w:val="19"/>
            <w:szCs w:val="19"/>
          </w:rPr>
          <w:t xml:space="preserve">Labor Cost Blind Spots</w:t>
        </w:r>
      </w:hyperlink>
    </w:p>
    <w:p>
      <w:pPr>
        <w:spacing w:after="100"/>
      </w:pPr>
      <w:r>
        <w:rPr>
          <w:b w:val="false"/>
          <w:bCs w:val="false"/>
        </w:rPr>
        <w:t xml:space="preserve">Remove “tamper-proof,” “complete elimination of buddy punching,” “95% reduction in timesheet errors,” and “automatic overtime calculations ensure compliance.” GPS mobile punches and payroll connections need product-owner confirmation.</w:t>
      </w:r>
    </w:p>
    <w:p>
      <w:pPr>
        <w:spacing w:after="100"/>
        <w:sectPr>
          <w:footerReference w:type="default" r:id="rId7"/>
          <w:pgSz w:w="12240" w:h="15840" w:orient="portrait"/>
          <w:pgMar w:top="850" w:right="1000" w:bottom="850" w:left="1000" w:header="708" w:footer="708" w:gutter="0"/>
          <w:pgNumType/>
          <w:docGrid w:linePitch="360"/>
        </w:sectPr>
      </w:pPr>
      <w:r>
        <w:rPr>
          <w:b w:val="false"/>
          <w:bCs w:val="false"/>
        </w:rPr>
        <w:t xml:space="preserve">Suggested wording: “Innrly Shift uses Face-ID timeclock punches to help reduce unauthorized clock-ins and support labor reporting. Employers must configure lawful timekeeping practices and obtain required employee notices and consent before biometric enrollment.” Confirm the per-employee tablet consent procedure. Do not introduce fingerprint support or imply Apple Face ID certification.</w:t>
      </w:r>
    </w:p>
    <w:p>
      <w:pPr>
        <w:pStyle w:val="Heading2"/>
        <w:spacing w:after="100" w:before="160"/>
      </w:pPr>
      <w:r>
        <w:t xml:space="preserve">Unsupported product and industry claims</w:t>
      </w:r>
    </w:p>
    <w:p>
      <w:pPr>
        <w:pStyle w:val="Heading2"/>
        <w:spacing w:after="100" w:before="160"/>
      </w:pPr>
      <w:r>
        <w:t xml:space="preserve">6. Guest biometrics, health data and robotics</w:t>
      </w:r>
    </w:p>
    <w:p>
      <w:pPr>
        <w:spacing w:after="90"/>
      </w:pPr>
      <w:hyperlink w:history="1" r:id="rId98ucia4qnrbffyvpjkgot">
        <w:r>
          <w:rPr>
            <w:rStyle w:val="Hyperlink"/>
            <w:sz w:val="19"/>
            <w:szCs w:val="19"/>
          </w:rPr>
          <w:t xml:space="preserve">Hyper-Personalization 2.0</w:t>
        </w:r>
      </w:hyperlink>
    </w:p>
    <w:p>
      <w:pPr>
        <w:spacing w:after="100"/>
      </w:pPr>
      <w:r>
        <w:rPr>
          <w:b w:val="false"/>
          <w:bCs w:val="false"/>
        </w:rPr>
        <w:t xml:space="preserve">The article says Innrly provides the data foundation for guest sleep, stress, health and biometric personalization. That capability is not established by this review and conflicts with the approved no-PHI positioning. Remove the Innrly capability claim; preferably rewrite around consent-based, non-sensitive guest preferences, clearly as industry commentary.</w:t>
      </w:r>
    </w:p>
    <w:p>
      <w:pPr>
        <w:spacing w:after="90"/>
      </w:pPr>
      <w:hyperlink w:history="1" r:id="rIdpv9poldfbarsyuqydbldy">
        <w:r>
          <w:rPr>
            <w:rStyle w:val="Hyperlink"/>
            <w:sz w:val="19"/>
            <w:szCs w:val="19"/>
          </w:rPr>
          <w:t xml:space="preserve">Back-of-House Robotics</w:t>
        </w:r>
      </w:hyperlink>
    </w:p>
    <w:p>
      <w:pPr>
        <w:spacing w:after="100"/>
      </w:pPr>
      <w:r>
        <w:rPr>
          <w:b w:val="false"/>
          <w:bCs w:val="false"/>
        </w:rPr>
        <w:t xml:space="preserve">Remove “INNRLY integrates with robotic systems” unless supported by a named, available connector. Replace “work 24/7 without breaks” with a qualified description accounting for charging, maintenance, safety and supervision.</w:t>
      </w:r>
    </w:p>
    <w:p>
      <w:pPr>
        <w:spacing w:after="90"/>
      </w:pPr>
      <w:hyperlink w:history="1" r:id="rIdz_s_i3ailpgfswldlvs6q">
        <w:r>
          <w:rPr>
            <w:rStyle w:val="Hyperlink"/>
            <w:sz w:val="19"/>
            <w:szCs w:val="19"/>
          </w:rPr>
          <w:t xml:space="preserve">Regenerative Tourism</w:t>
        </w:r>
      </w:hyperlink>
    </w:p>
    <w:p>
      <w:pPr>
        <w:spacing w:after="100"/>
      </w:pPr>
      <w:r>
        <w:rPr>
          <w:b w:val="false"/>
          <w:bCs w:val="false"/>
        </w:rPr>
        <w:t xml:space="preserve">Do not advertise dedicated biodiversity, carbon, water or regenerative-impact reporting without product confirmation. Frame this as industry discussion, not an Innrly module.</w:t>
      </w:r>
    </w:p>
    <w:p>
      <w:pPr>
        <w:pStyle w:val="Heading2"/>
        <w:spacing w:after="100" w:before="160"/>
      </w:pPr>
      <w:r>
        <w:t xml:space="preserve">7. Correct vendor categories and unsupported formats</w:t>
      </w:r>
    </w:p>
    <w:p>
      <w:pPr>
        <w:spacing w:after="90"/>
      </w:pPr>
      <w:hyperlink w:history="1" r:id="rIdrbsjgbazwp-yglvqqhobc">
        <w:r>
          <w:rPr>
            <w:rStyle w:val="Hyperlink"/>
            <w:sz w:val="19"/>
            <w:szCs w:val="19"/>
          </w:rPr>
          <w:t xml:space="preserve">Night Audit Automation</w:t>
        </w:r>
      </w:hyperlink>
    </w:p>
    <w:p>
      <w:pPr>
        <w:spacing w:after="100"/>
      </w:pPr>
      <w:r>
        <w:rPr>
          <w:b w:val="false"/>
          <w:bCs w:val="false"/>
        </w:rPr>
        <w:t xml:space="preserve">HotSOS is an operations/service-optimization product, not a PMS. Separate it from Marriott FOSSE. Remove universal brand-specific CSV/XML/PDF assertions unless documented for the particular product version and connection.</w:t>
      </w:r>
    </w:p>
    <w:p>
      <w:pPr>
        <w:spacing w:after="90"/>
      </w:pPr>
      <w:hyperlink w:history="1" r:id="rIdf9efczh0agt2e_33acw_q">
        <w:r>
          <w:rPr>
            <w:rStyle w:val="Hyperlink"/>
            <w:sz w:val="19"/>
            <w:szCs w:val="19"/>
          </w:rPr>
          <w:t xml:space="preserve">Primary source: Amadeus HotSOS</w:t>
        </w:r>
      </w:hyperlink>
    </w:p>
    <w:p>
      <w:pPr>
        <w:spacing w:after="90"/>
      </w:pPr>
      <w:hyperlink w:history="1" r:id="rIdbsmxcdqderrpon4ujmisc">
        <w:r>
          <w:rPr>
            <w:rStyle w:val="Hyperlink"/>
            <w:sz w:val="19"/>
            <w:szCs w:val="19"/>
          </w:rPr>
          <w:t xml:space="preserve">Multi-Property Accounting Buyer’s Guide</w:t>
        </w:r>
      </w:hyperlink>
    </w:p>
    <w:p>
      <w:pPr>
        <w:spacing w:after="100"/>
      </w:pPr>
      <w:r>
        <w:rPr>
          <w:b w:val="false"/>
          <w:bCs w:val="false"/>
        </w:rPr>
        <w:t xml:space="preserve">Calling Otelier a general-ledger suite is not supported by its published product description. Say it offers hotel finance, reconciliation, BI and planning tools that can work with an accounting system. Remove unsupported separate-login, implementation and quoted-cost generalizations.</w:t>
      </w:r>
    </w:p>
    <w:p>
      <w:pPr>
        <w:spacing w:after="90"/>
        <w:sectPr>
          <w:footerReference w:type="default" r:id="rId8"/>
          <w:pgSz w:w="12240" w:h="15840" w:orient="portrait"/>
          <w:pgMar w:top="850" w:right="1000" w:bottom="850" w:left="1000" w:header="708" w:footer="708" w:gutter="0"/>
          <w:pgNumType/>
          <w:docGrid w:linePitch="360"/>
        </w:sectPr>
      </w:pPr>
      <w:hyperlink w:history="1" r:id="rIdsrksekfv5cevxvtwwy3nk">
        <w:r>
          <w:rPr>
            <w:rStyle w:val="Hyperlink"/>
            <w:sz w:val="19"/>
            <w:szCs w:val="19"/>
          </w:rPr>
          <w:t xml:space="preserve">Primary source: Otelier Rec</w:t>
        </w:r>
      </w:hyperlink>
    </w:p>
    <w:p>
      <w:pPr>
        <w:pStyle w:val="Heading2"/>
        <w:spacing w:after="100" w:before="160"/>
      </w:pPr>
      <w:r>
        <w:t xml:space="preserve">Results claims, dated advice and publishing controls</w:t>
      </w:r>
    </w:p>
    <w:p>
      <w:pPr>
        <w:pStyle w:val="Heading2"/>
        <w:spacing w:after="100" w:before="160"/>
      </w:pPr>
      <w:r>
        <w:t xml:space="preserve">8. Remove unsupported “real results”</w:t>
      </w:r>
    </w:p>
    <w:p>
      <w:pPr>
        <w:spacing w:after="100"/>
      </w:pPr>
      <w:r>
        <w:rPr>
          <w:b w:val="false"/>
          <w:bCs w:val="false"/>
        </w:rPr>
        <w:t xml:space="preserve">CLC article: “90%” less entry, “40%” fewer disputes, “15%” more commissions and “180+ hours” saved. Budgeting/Excel article: “70% faster” and “90% reduction in errors.” TimeClock: labor-cost and error reductions. No supporting customer evidence is shown; remove these numbers, not merely anonymize them.</w:t>
      </w:r>
    </w:p>
    <w:p>
      <w:pPr>
        <w:spacing w:after="100"/>
      </w:pPr>
      <w:r>
        <w:rPr>
          <w:b w:val="false"/>
          <w:bCs w:val="false"/>
        </w:rPr>
        <w:t xml:space="preserve">Automation, A/P, OTA and select-service articles contain more unsupported savings, first-pass accuracy, zero-duplicate-payment, recovery-rate and onboarding claims. Do not turn their ranges into “typical results.” Use qualitative benefits and invite a measured pilot. A calculated cost of released staff time is not automatically cash saved.</w:t>
      </w:r>
    </w:p>
    <w:p>
      <w:pPr>
        <w:pStyle w:val="Heading2"/>
        <w:spacing w:after="100" w:before="160"/>
      </w:pPr>
      <w:r>
        <w:t xml:space="preserve">9. Fix OTA policy generalizations</w:t>
      </w:r>
    </w:p>
    <w:p>
      <w:pPr>
        <w:spacing w:after="100"/>
      </w:pPr>
      <w:r>
        <w:rPr>
          <w:b w:val="false"/>
          <w:bCs w:val="false"/>
        </w:rPr>
        <w:t xml:space="preserve">OTA Commission Audit prescribes a universal 30-day dispute deadline; OTA Reconciliation claims 80%+ dispute success and recovery of historical cancellations. Use each channel’s current agreement, payment model and deadline. No-show and cancellation commissions may legitimately be payable; a mismatch is a review flag, not proof of overcharging or guaranteed recovery.</w:t>
      </w:r>
    </w:p>
    <w:p>
      <w:pPr>
        <w:pStyle w:val="Heading2"/>
        <w:spacing w:after="100" w:before="160"/>
      </w:pPr>
      <w:r>
        <w:t xml:space="preserve">10. Update stale or unsourced industry statements</w:t>
      </w:r>
    </w:p>
    <w:p>
      <w:pPr>
        <w:spacing w:after="100"/>
      </w:pPr>
      <w:r>
        <w:rPr>
          <w:b w:val="false"/>
          <w:bCs w:val="false"/>
        </w:rPr>
        <w:t xml:space="preserve">Robotics and Labor Shortages claim a 1.2-million hotel labor deficit, without a matching 2025 primary source. BLS’s older 1.2-million figure concerned leisure-and-hospitality employment below February 2020, not a 2025 hotel vacancy estimate. Remove or replace with a correctly dated, scoped source.</w:t>
      </w:r>
    </w:p>
    <w:p>
      <w:pPr>
        <w:spacing w:after="90"/>
      </w:pPr>
      <w:hyperlink w:history="1" r:id="rId7cbl9ggpugpmtop3vejyw">
        <w:r>
          <w:rPr>
            <w:rStyle w:val="Hyperlink"/>
            <w:sz w:val="19"/>
            <w:szCs w:val="19"/>
          </w:rPr>
          <w:t xml:space="preserve">Primary source: AHLA’s February 2025 staffing survey</w:t>
        </w:r>
      </w:hyperlink>
    </w:p>
    <w:p>
      <w:pPr>
        <w:spacing w:after="100"/>
      </w:pPr>
      <w:r>
        <w:rPr>
          <w:b w:val="false"/>
          <w:bCs w:val="false"/>
        </w:rPr>
        <w:t xml:space="preserve">US Hospitality 2025 and the labor/AI trend articles were posted in 2026 but speak about approaching 2025. Make them explicitly historical or update using dated sources. The “88% of spreadsheets” claim needs its actual study, population and limits; it is not proof that 88% of hotel budgets are wrong.</w:t>
      </w:r>
    </w:p>
    <w:p>
      <w:pPr>
        <w:pStyle w:val="Heading2"/>
        <w:spacing w:after="100" w:before="160"/>
      </w:pPr>
      <w:r>
        <w:t xml:space="preserve">Developer/editor release checklist</w:t>
      </w:r>
    </w:p>
    <w:p>
      <w:pPr>
        <w:spacing w:after="100"/>
      </w:pPr>
      <w:r>
        <w:rPr>
          <w:b w:val="false"/>
          <w:bCs w:val="false"/>
        </w:rPr>
        <w:t xml:space="preserve">1. Edit the live publishing source, not only this Lovable copy: production has 33 articles, while the inspected local article file defines 22 and differs materially.</w:t>
      </w:r>
    </w:p>
    <w:p>
      <w:pPr>
        <w:spacing w:after="100"/>
      </w:pPr>
      <w:r>
        <w:rPr>
          <w:b w:val="false"/>
          <w:bCs w:val="false"/>
        </w:rPr>
        <w:t xml:space="preserve">2. Correct titles, summaries, body, FAQs, structured data and social preview text together. Preserve innrly.com and existing article addresses.</w:t>
      </w:r>
    </w:p>
    <w:p>
      <w:pPr>
        <w:spacing w:after="100"/>
      </w:pPr>
      <w:r>
        <w:rPr>
          <w:b w:val="false"/>
          <w:bCs w:val="false"/>
        </w:rPr>
        <w:t xml:space="preserve">3. Confirm product capabilities and pricing with the owner; obtain consent and evidence for any customer quote. Keep payments described as a third-party, direct-contract workflow—not Innrly holding funds or guaranteeing settlement.</w:t>
      </w:r>
    </w:p>
    <w:p>
      <w:pPr>
        <w:spacing w:after="100"/>
        <w:sectPr>
          <w:footerReference w:type="default" r:id="rId9"/>
          <w:pgSz w:w="12240" w:h="15840" w:orient="portrait"/>
          <w:pgMar w:top="850" w:right="1000" w:bottom="850" w:left="1000" w:header="708" w:footer="708" w:gutter="0"/>
          <w:pgNumType/>
          <w:docGrid w:linePitch="360"/>
        </w:sectPr>
      </w:pPr>
      <w:r>
        <w:rPr>
          <w:b w:val="false"/>
          <w:bCs w:val="false"/>
        </w:rPr>
        <w:t xml:space="preserve">4. Recheck published pages after deployment. This review did not authenticate testimonials, private integrations, contracts, calculation inputs or text embedded inside images. The exception-based automation article has no material issue in its extracted body; that is not a blanket approval of the whole site.</w:t>
      </w:r>
    </w:p>
    <w:p>
      <w:pPr>
        <w:pStyle w:val="Heading2"/>
        <w:spacing w:after="100" w:before="160"/>
      </w:pPr>
      <w:r>
        <w:t xml:space="preserve">Coverage register 1 of 2</w:t>
      </w:r>
    </w:p>
    <w:p>
      <w:pPr>
        <w:spacing w:after="100"/>
      </w:pPr>
      <w:r>
        <w:rPr>
          <w:b w:val="false"/>
          <w:bCs w:val="false"/>
        </w:rPr>
        <w:t xml:space="preserve">All addresses below returned 200; word counts include shared “Related reading” and newsletter text. Notes flag editorial risk, not proven falsity.</w:t>
      </w:r>
    </w:p>
    <w:p>
      <w:pPr>
        <w:spacing w:after="100"/>
      </w:pPr>
      <w:r>
        <w:rPr>
          <w:b/>
          <w:bCs/>
        </w:rPr>
        <w:t xml:space="preserve">ap-automation-hotels</w:t>
      </w:r>
    </w:p>
    <w:p>
      <w:pPr>
        <w:spacing w:after="100"/>
      </w:pPr>
      <w:r>
        <w:rPr>
          <w:b w:val="false"/>
          <w:bCs w:val="false"/>
        </w:rPr>
        <w:t xml:space="preserve">M3 status; unsupported accuracy, zero-error and workload claims; payment-provider wording.</w:t>
      </w:r>
    </w:p>
    <w:p>
      <w:pPr>
        <w:spacing w:after="100"/>
      </w:pPr>
      <w:r>
        <w:rPr>
          <w:b/>
          <w:bCs/>
        </w:rPr>
        <w:t xml:space="preserve">backofhouse-robotics-solving-labor-shortages-with-ai-chefs-and-automated-housekeeping</w:t>
      </w:r>
    </w:p>
    <w:p>
      <w:pPr>
        <w:spacing w:after="100"/>
      </w:pPr>
      <w:r>
        <w:rPr>
          <w:b w:val="false"/>
          <w:bCs w:val="false"/>
        </w:rPr>
        <w:t xml:space="preserve">Unsupported robotics integration; stale labor statistic; absolute availability.</w:t>
      </w:r>
    </w:p>
    <w:p>
      <w:pPr>
        <w:spacing w:after="100"/>
      </w:pPr>
      <w:r>
        <w:rPr>
          <w:b/>
          <w:bCs/>
        </w:rPr>
        <w:t xml:space="preserve">best-hotel-accounting-software</w:t>
      </w:r>
    </w:p>
    <w:p>
      <w:pPr>
        <w:spacing w:after="100"/>
      </w:pPr>
      <w:r>
        <w:rPr>
          <w:b w:val="false"/>
          <w:bCs w:val="false"/>
        </w:rPr>
        <w:t xml:space="preserve">Very short buyer guide; unsupported “best” and legacy/vendor categorizations.</w:t>
      </w:r>
    </w:p>
    <w:p>
      <w:pPr>
        <w:spacing w:after="100"/>
      </w:pPr>
      <w:r>
        <w:rPr>
          <w:b/>
          <w:bCs/>
        </w:rPr>
        <w:t xml:space="preserve">ditching-excel-budgeting-software</w:t>
      </w:r>
    </w:p>
    <w:p>
      <w:pPr>
        <w:spacing w:after="100"/>
      </w:pPr>
      <w:r>
        <w:rPr>
          <w:b w:val="false"/>
          <w:bCs w:val="false"/>
        </w:rPr>
        <w:t xml:space="preserve">Uncited 88% study; unsupported 70%/90% results; verify collaboration/history features.</w:t>
      </w:r>
    </w:p>
    <w:p>
      <w:pPr>
        <w:spacing w:after="100"/>
      </w:pPr>
      <w:r>
        <w:rPr>
          <w:b/>
          <w:bCs/>
        </w:rPr>
        <w:t xml:space="preserve">exception-based-hotel-back-office-automation</w:t>
      </w:r>
    </w:p>
    <w:p>
      <w:pPr>
        <w:spacing w:after="100"/>
      </w:pPr>
      <w:r>
        <w:rPr>
          <w:b w:val="false"/>
          <w:bCs w:val="false"/>
        </w:rPr>
        <w:t xml:space="preserve">No material concern in extracted body; capabilities are qualified.</w:t>
      </w:r>
    </w:p>
    <w:p>
      <w:pPr>
        <w:spacing w:after="100"/>
      </w:pPr>
      <w:r>
        <w:rPr>
          <w:b/>
          <w:bCs/>
        </w:rPr>
        <w:t xml:space="preserve">five-back-office-wins</w:t>
      </w:r>
    </w:p>
    <w:p>
      <w:pPr>
        <w:spacing w:after="100"/>
      </w:pPr>
      <w:r>
        <w:rPr>
          <w:b w:val="false"/>
          <w:bCs w:val="false"/>
        </w:rPr>
        <w:t xml:space="preserve">“Eliminate” buddy punching/data entry; qualify promises.</w:t>
      </w:r>
    </w:p>
    <w:p>
      <w:pPr>
        <w:spacing w:after="100"/>
      </w:pPr>
      <w:r>
        <w:rPr>
          <w:b/>
          <w:bCs/>
        </w:rPr>
        <w:t xml:space="preserve">future-hospitality-accounting-software</w:t>
      </w:r>
    </w:p>
    <w:p>
      <w:pPr>
        <w:spacing w:after="100"/>
      </w:pPr>
      <w:r>
        <w:rPr>
          <w:b w:val="false"/>
          <w:bCs w:val="false"/>
        </w:rPr>
        <w:t xml:space="preserve">Separate forecasts about blockchain/fully automated close from available features.</w:t>
      </w:r>
    </w:p>
    <w:p>
      <w:pPr>
        <w:spacing w:after="100"/>
      </w:pPr>
      <w:r>
        <w:rPr>
          <w:b/>
          <w:bCs/>
        </w:rPr>
        <w:t xml:space="preserve">hospitality-accounting-services-vs-software</w:t>
      </w:r>
    </w:p>
    <w:p>
      <w:pPr>
        <w:spacing w:after="100"/>
      </w:pPr>
      <w:r>
        <w:rPr>
          <w:b w:val="false"/>
          <w:bCs w:val="false"/>
        </w:rPr>
        <w:t xml:space="preserve">Unsupported service prices and 15–20-day close; unequal scope comparison.</w:t>
      </w:r>
    </w:p>
    <w:p>
      <w:pPr>
        <w:spacing w:after="100"/>
      </w:pPr>
      <w:r>
        <w:rPr>
          <w:b/>
          <w:bCs/>
        </w:rPr>
        <w:t xml:space="preserve">hotel-back-office-automation</w:t>
      </w:r>
    </w:p>
    <w:p>
      <w:pPr>
        <w:spacing w:after="100"/>
      </w:pPr>
      <w:r>
        <w:rPr>
          <w:b w:val="false"/>
          <w:bCs w:val="false"/>
        </w:rPr>
        <w:t xml:space="preserve">M3 status; unsupported savings/ROI, competitor architecture and timing.</w:t>
      </w:r>
    </w:p>
    <w:p>
      <w:pPr>
        <w:spacing w:after="100"/>
      </w:pPr>
      <w:r>
        <w:rPr>
          <w:b/>
          <w:bCs/>
        </w:rPr>
        <w:t xml:space="preserve">hotel-budgeting-software-2026</w:t>
      </w:r>
    </w:p>
    <w:p>
      <w:pPr>
        <w:spacing w:after="100"/>
      </w:pPr>
      <w:r>
        <w:rPr>
          <w:b w:val="false"/>
          <w:bCs w:val="false"/>
        </w:rPr>
        <w:t xml:space="preserve">Confirm product/reporting scope; avoid categorical claims about spreadsheet limits.</w:t>
      </w:r>
    </w:p>
    <w:p>
      <w:pPr>
        <w:spacing w:after="100"/>
      </w:pPr>
      <w:r>
        <w:rPr>
          <w:b/>
          <w:bCs/>
        </w:rPr>
        <w:t xml:space="preserve">hotel-labor-cost-percentage</w:t>
      </w:r>
    </w:p>
    <w:p>
      <w:pPr>
        <w:spacing w:after="100"/>
      </w:pPr>
      <w:r>
        <w:rPr>
          <w:b w:val="false"/>
          <w:bCs w:val="false"/>
        </w:rPr>
        <w:t xml:space="preserve">Formula, revenue basis, unsourced benchmarks; lawful hours-worked guidance.</w:t>
      </w:r>
    </w:p>
    <w:p>
      <w:pPr>
        <w:spacing w:after="100"/>
      </w:pPr>
      <w:r>
        <w:rPr>
          <w:b/>
          <w:bCs/>
        </w:rPr>
        <w:t xml:space="preserve">hotel-night-audit-checklist</w:t>
      </w:r>
    </w:p>
    <w:p>
      <w:pPr>
        <w:spacing w:after="100"/>
      </w:pPr>
      <w:r>
        <w:rPr>
          <w:b w:val="false"/>
          <w:bCs w:val="false"/>
        </w:rPr>
        <w:t xml:space="preserve">Late discrepancies not always impossible to recover; verify M3 journals and 6 AM promise.</w:t>
      </w:r>
    </w:p>
    <w:p>
      <w:pPr>
        <w:spacing w:after="100"/>
      </w:pPr>
      <w:r>
        <w:rPr>
          <w:b/>
          <w:bCs/>
        </w:rPr>
        <w:t xml:space="preserve">hotel-night-audit-software-guide</w:t>
      </w:r>
    </w:p>
    <w:p>
      <w:pPr>
        <w:spacing w:after="100"/>
      </w:pPr>
      <w:r>
        <w:rPr>
          <w:b w:val="false"/>
          <w:bCs w:val="false"/>
        </w:rPr>
        <w:t xml:space="preserve">Verify journal payloads; unsupported 30–45-hour savings and delay elimination.</w:t>
      </w:r>
    </w:p>
    <w:p>
      <w:pPr>
        <w:spacing w:after="100"/>
      </w:pPr>
      <w:r>
        <w:rPr>
          <w:b/>
          <w:bCs/>
        </w:rPr>
        <w:t xml:space="preserve">hotel-ota-commission-reconciliation</w:t>
      </w:r>
    </w:p>
    <w:p>
      <w:pPr>
        <w:spacing w:after="100"/>
      </w:pPr>
      <w:r>
        <w:rPr>
          <w:b w:val="false"/>
          <w:bCs w:val="false"/>
        </w:rPr>
        <w:t xml:space="preserve">Uncited loss figures; contract-dependent cancellations/commissions; no guaranteed recovery.</w:t>
      </w:r>
    </w:p>
    <w:p>
      <w:pPr>
        <w:spacing w:after="100"/>
      </w:pPr>
      <w:r>
        <w:rPr>
          <w:b/>
          <w:bCs/>
        </w:rPr>
        <w:t xml:space="preserve">hotels-losing-thousands-clc-mistakes</w:t>
      </w:r>
    </w:p>
    <w:p>
      <w:pPr>
        <w:spacing w:after="100"/>
      </w:pPr>
      <w:r>
        <w:rPr>
          <w:b w:val="false"/>
          <w:bCs w:val="false"/>
        </w:rPr>
        <w:t xml:space="preserve">Unsupported “real results”; validate CLC billing/commission terminology.</w:t>
      </w:r>
    </w:p>
    <w:p>
      <w:pPr>
        <w:spacing w:after="100"/>
      </w:pPr>
      <w:r>
        <w:rPr>
          <w:b/>
          <w:bCs/>
        </w:rPr>
        <w:t xml:space="preserve">hyperpersonalization-20-leveraging-ai-and-biometric-data-for-bespoke-guest-experiences</w:t>
      </w:r>
    </w:p>
    <w:p>
      <w:pPr>
        <w:spacing w:after="100"/>
      </w:pPr>
      <w:r>
        <w:rPr>
          <w:b w:val="false"/>
          <w:bCs w:val="false"/>
        </w:rPr>
        <w:t xml:space="preserve">Unverified guest biometric/health functionality; no-PHI conflict; stale forecast.</w:t>
      </w:r>
    </w:p>
    <w:p>
      <w:pPr>
        <w:spacing w:after="100"/>
      </w:pPr>
      <w:r>
        <w:rPr>
          <w:b/>
          <w:bCs/>
        </w:rPr>
        <w:t xml:space="preserve">innrly-joins-m3-partner-ecosystem-hotel-accounting-automation</w:t>
      </w:r>
    </w:p>
    <w:p>
      <w:pPr>
        <w:spacing w:after="100"/>
        <w:sectPr>
          <w:footerReference w:type="default" r:id="rId10"/>
          <w:pgSz w:w="12240" w:h="15840" w:orient="portrait"/>
          <w:pgMar w:top="850" w:right="1000" w:bottom="850" w:left="1000" w:header="708" w:footer="708" w:gutter="0"/>
          <w:pgNumType/>
          <w:docGrid w:linePitch="360"/>
        </w:sectPr>
      </w:pPr>
      <w:r>
        <w:rPr>
          <w:b w:val="false"/>
          <w:bCs w:val="false"/>
        </w:rPr>
        <w:t xml:space="preserve">Associate Partner correct; distinguish announcement roadmap from current availability.</w:t>
      </w:r>
    </w:p>
    <w:p>
      <w:pPr>
        <w:pStyle w:val="Heading2"/>
        <w:spacing w:after="100" w:before="160"/>
      </w:pPr>
      <w:r>
        <w:t xml:space="preserve">Coverage register 2 of 2</w:t>
      </w:r>
    </w:p>
    <w:p>
      <w:pPr>
        <w:spacing w:after="100"/>
      </w:pPr>
      <w:r>
        <w:rPr>
          <w:b w:val="false"/>
          <w:bCs w:val="false"/>
        </w:rPr>
        <w:t xml:space="preserve">All addresses below returned 200; word counts include shared “Related reading” and newsletter text. Notes flag editorial risk, not proven falsity.</w:t>
      </w:r>
    </w:p>
    <w:p>
      <w:pPr>
        <w:spacing w:after="100"/>
      </w:pPr>
      <w:r>
        <w:rPr>
          <w:b/>
          <w:bCs/>
        </w:rPr>
        <w:t xml:space="preserve">innrly-vs-inn-flow</w:t>
      </w:r>
    </w:p>
    <w:p>
      <w:pPr>
        <w:spacing w:after="100"/>
      </w:pPr>
      <w:r>
        <w:rPr>
          <w:b w:val="false"/>
          <w:bCs w:val="false"/>
        </w:rPr>
        <w:t xml:space="preserve">Urgent partner-safe rewrite; remove unsourced competitor comparisons and M3 certification.</w:t>
      </w:r>
    </w:p>
    <w:p>
      <w:pPr>
        <w:spacing w:after="100"/>
      </w:pPr>
      <w:r>
        <w:rPr>
          <w:b/>
          <w:bCs/>
        </w:rPr>
        <w:t xml:space="preserve">labor-cost-blind-spots</w:t>
      </w:r>
    </w:p>
    <w:p>
      <w:pPr>
        <w:spacing w:after="100"/>
      </w:pPr>
      <w:r>
        <w:rPr>
          <w:b w:val="false"/>
          <w:bCs w:val="false"/>
        </w:rPr>
        <w:t xml:space="preserve">Remove “tamper-proof” and “exact”; confirm inputs/consent.</w:t>
      </w:r>
    </w:p>
    <w:p>
      <w:pPr>
        <w:spacing w:after="100"/>
      </w:pPr>
      <w:r>
        <w:rPr>
          <w:b/>
          <w:bCs/>
        </w:rPr>
        <w:t xml:space="preserve">labor-shortages-urban-revitalization</w:t>
      </w:r>
    </w:p>
    <w:p>
      <w:pPr>
        <w:spacing w:after="100"/>
      </w:pPr>
      <w:r>
        <w:rPr>
          <w:b w:val="false"/>
          <w:bCs w:val="false"/>
        </w:rPr>
        <w:t xml:space="preserve">Unverified vacancy/turnover figures; 2025 framing in 2026.</w:t>
      </w:r>
    </w:p>
    <w:p>
      <w:pPr>
        <w:spacing w:after="100"/>
      </w:pPr>
      <w:r>
        <w:rPr>
          <w:b/>
          <w:bCs/>
        </w:rPr>
        <w:t xml:space="preserve">lean-teams-smart-software-hotel-profits</w:t>
      </w:r>
    </w:p>
    <w:p>
      <w:pPr>
        <w:spacing w:after="100"/>
      </w:pPr>
      <w:r>
        <w:rPr>
          <w:b w:val="false"/>
          <w:bCs w:val="false"/>
        </w:rPr>
        <w:t xml:space="preserve">Qualify real-time, predictive and seamless claims; staffing does not scale without limits.</w:t>
      </w:r>
    </w:p>
    <w:p>
      <w:pPr>
        <w:spacing w:after="100"/>
      </w:pPr>
      <w:r>
        <w:rPr>
          <w:b/>
          <w:bCs/>
        </w:rPr>
        <w:t xml:space="preserve">mpor-explained</w:t>
      </w:r>
    </w:p>
    <w:p>
      <w:pPr>
        <w:spacing w:after="100"/>
      </w:pPr>
      <w:r>
        <w:rPr>
          <w:b w:val="false"/>
          <w:bCs w:val="false"/>
        </w:rPr>
        <w:t xml:space="preserve">Uncited benchmarks, universal inefficiency threshold and zero-work claim.</w:t>
      </w:r>
    </w:p>
    <w:p>
      <w:pPr>
        <w:spacing w:after="100"/>
      </w:pPr>
      <w:r>
        <w:rPr>
          <w:b/>
          <w:bCs/>
        </w:rPr>
        <w:t xml:space="preserve">multi-property-accounting-software</w:t>
      </w:r>
    </w:p>
    <w:p>
      <w:pPr>
        <w:spacing w:after="100"/>
      </w:pPr>
      <w:r>
        <w:rPr>
          <w:b w:val="false"/>
          <w:bCs w:val="false"/>
        </w:rPr>
        <w:t xml:space="preserve">M3 status; Otelier category; unsupported costs, timelines and property-count cutoffs.</w:t>
      </w:r>
    </w:p>
    <w:p>
      <w:pPr>
        <w:spacing w:after="100"/>
      </w:pPr>
      <w:r>
        <w:rPr>
          <w:b/>
          <w:bCs/>
        </w:rPr>
        <w:t xml:space="preserve">multi-property-hotel-accounting-software</w:t>
      </w:r>
    </w:p>
    <w:p>
      <w:pPr>
        <w:spacing w:after="100"/>
      </w:pPr>
      <w:r>
        <w:rPr>
          <w:b w:val="false"/>
          <w:bCs w:val="false"/>
        </w:rPr>
        <w:t xml:space="preserve">M3 status and journal-push scope; substantiate vendor limitations.</w:t>
      </w:r>
    </w:p>
    <w:p>
      <w:pPr>
        <w:spacing w:after="100"/>
      </w:pPr>
      <w:r>
        <w:rPr>
          <w:b/>
          <w:bCs/>
        </w:rPr>
        <w:t xml:space="preserve">night-audit-automation</w:t>
      </w:r>
    </w:p>
    <w:p>
      <w:pPr>
        <w:spacing w:after="100"/>
      </w:pPr>
      <w:r>
        <w:rPr>
          <w:b w:val="false"/>
          <w:bCs w:val="false"/>
        </w:rPr>
        <w:t xml:space="preserve">M3 status/scope; HotSOS classification; export formats; zero-hour and time/ROI claims.</w:t>
      </w:r>
    </w:p>
    <w:p>
      <w:pPr>
        <w:spacing w:after="100"/>
      </w:pPr>
      <w:r>
        <w:rPr>
          <w:b/>
          <w:bCs/>
        </w:rPr>
        <w:t xml:space="preserve">ota-commission-audit</w:t>
      </w:r>
    </w:p>
    <w:p>
      <w:pPr>
        <w:spacing w:after="100"/>
      </w:pPr>
      <w:r>
        <w:rPr>
          <w:b w:val="false"/>
          <w:bCs w:val="false"/>
        </w:rPr>
        <w:t xml:space="preserve">No universal 30-day deadline or guaranteed commission exemption; verify auto-dispute scope.</w:t>
      </w:r>
    </w:p>
    <w:p>
      <w:pPr>
        <w:spacing w:after="100"/>
      </w:pPr>
      <w:r>
        <w:rPr>
          <w:b/>
          <w:bCs/>
        </w:rPr>
        <w:t xml:space="preserve">ota-reconciliation-guide</w:t>
      </w:r>
    </w:p>
    <w:p>
      <w:pPr>
        <w:spacing w:after="100"/>
      </w:pPr>
      <w:r>
        <w:rPr>
          <w:b w:val="false"/>
          <w:bCs w:val="false"/>
        </w:rPr>
        <w:t xml:space="preserve">Uncited loss/recovery ranges and exception rates; no universal recovery entitlement.</w:t>
      </w:r>
    </w:p>
    <w:p>
      <w:pPr>
        <w:spacing w:after="100"/>
      </w:pPr>
      <w:r>
        <w:rPr>
          <w:b/>
          <w:bCs/>
        </w:rPr>
        <w:t xml:space="preserve">pms-vs-back-office-automation</w:t>
      </w:r>
    </w:p>
    <w:p>
      <w:pPr>
        <w:spacing w:after="100"/>
      </w:pPr>
      <w:r>
        <w:rPr>
          <w:b w:val="false"/>
          <w:bCs w:val="false"/>
        </w:rPr>
        <w:t xml:space="preserve">Differentiate accounting/automation categories; verify integrations and posting scope.</w:t>
      </w:r>
    </w:p>
    <w:p>
      <w:pPr>
        <w:spacing w:after="100"/>
      </w:pPr>
      <w:r>
        <w:rPr>
          <w:b/>
          <w:bCs/>
        </w:rPr>
        <w:t xml:space="preserve">quickbooks-for-hotels-limits</w:t>
      </w:r>
    </w:p>
    <w:p>
      <w:pPr>
        <w:spacing w:after="100"/>
      </w:pPr>
      <w:r>
        <w:rPr>
          <w:b w:val="false"/>
          <w:bCs w:val="false"/>
        </w:rPr>
        <w:t xml:space="preserve">Avoid categorical hotel-count cutoffs; qualify class/location limitations by edition/configuration.</w:t>
      </w:r>
    </w:p>
    <w:p>
      <w:pPr>
        <w:spacing w:after="100"/>
      </w:pPr>
      <w:r>
        <w:rPr>
          <w:b/>
          <w:bCs/>
        </w:rPr>
        <w:t xml:space="preserve">regenerative-tourism-sustainability</w:t>
      </w:r>
    </w:p>
    <w:p>
      <w:pPr>
        <w:spacing w:after="100"/>
      </w:pPr>
      <w:r>
        <w:rPr>
          <w:b w:val="false"/>
          <w:bCs w:val="false"/>
        </w:rPr>
        <w:t xml:space="preserve">Unverified sustainability module; duplicate step; qualify net-positive/premium-pricing benefits.</w:t>
      </w:r>
    </w:p>
    <w:p>
      <w:pPr>
        <w:spacing w:after="100"/>
      </w:pPr>
      <w:r>
        <w:rPr>
          <w:b/>
          <w:bCs/>
        </w:rPr>
        <w:t xml:space="preserve">select-service-back-office-savings</w:t>
      </w:r>
    </w:p>
    <w:p>
      <w:pPr>
        <w:spacing w:after="100"/>
      </w:pPr>
      <w:r>
        <w:rPr>
          <w:b w:val="false"/>
          <w:bCs w:val="false"/>
        </w:rPr>
        <w:t xml:space="preserve">Unsupported 40–180-hour headline and individual savings/recovery figures.</w:t>
      </w:r>
    </w:p>
    <w:p>
      <w:pPr>
        <w:spacing w:after="100"/>
      </w:pPr>
      <w:r>
        <w:rPr>
          <w:b/>
          <w:bCs/>
        </w:rPr>
        <w:t xml:space="preserve">smarter-timeclock-system-innrly</w:t>
      </w:r>
    </w:p>
    <w:p>
      <w:pPr>
        <w:spacing w:after="100"/>
      </w:pPr>
      <w:r>
        <w:rPr>
          <w:b w:val="false"/>
          <w:bCs w:val="false"/>
        </w:rPr>
        <w:t xml:space="preserve">Unverified GPS/payroll scope; unsupported savings; no absolute fraud/compliance guarantees.</w:t>
      </w:r>
    </w:p>
    <w:p>
      <w:pPr>
        <w:spacing w:after="100"/>
      </w:pPr>
      <w:r>
        <w:rPr>
          <w:b/>
          <w:bCs/>
        </w:rPr>
        <w:t xml:space="preserve">us-hospitality-2025</w:t>
      </w:r>
    </w:p>
    <w:p>
      <w:pPr>
        <w:spacing w:after="100"/>
      </w:pPr>
      <w:r>
        <w:rPr>
          <w:b w:val="false"/>
          <w:bCs w:val="false"/>
        </w:rPr>
        <w:t xml:space="preserve">Historical framing and dated PwC source required; broad product capability claim.</w:t>
      </w:r>
    </w:p>
    <w:sectPr>
      <w:footerReference w:type="default" r:id="rId11"/>
      <w:pgSz w:w="12240" w:h="15840" w:orient="portrait"/>
      <w:pgMar w:top="850" w:right="1000" w:bottom="85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7"/>
        <w:szCs w:val="17"/>
      </w:rPr>
      <w:t xml:space="preserve">INNRLY | Content audit | October 24, 2026     </w:t>
    </w:r>
    <w:r>
      <w:rPr>
        <w:sz w:val="17"/>
        <w:szCs w:val="17"/>
      </w:rPr>
      <w:fldChar w:fldCharType="begin"/>
    </w:r>
    <w:r>
      <w:rPr>
        <w:sz w:val="17"/>
        <w:szCs w:val="17"/>
      </w:rPr>
      <w:instrText xml:space="preserve">PAGE</w:instrText>
    </w:r>
    <w:r>
      <w:rPr>
        <w:sz w:val="17"/>
        <w:szCs w:val="17"/>
      </w:rPr>
      <w:fldChar w:fldCharType="separate"/>
    </w:r>
    <w:r>
      <w:rPr>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9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2">
    <w:name w:val="Heading 2"/>
    <w:basedOn w:val="Normal"/>
    <w:next w:val="Normal"/>
    <w:qFormat/>
    <w:pPr>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dyddkzpqimzwsktv1i9yp" Type="http://schemas.openxmlformats.org/officeDocument/2006/relationships/hyperlink" Target="https://innrly.com/blog/innrly-vs-inn-flow" TargetMode="External"/><Relationship Id="rIdaipad7jsgnjgu2dwgxrak" Type="http://schemas.openxmlformats.org/officeDocument/2006/relationships/hyperlink" Target="https://www.m3as.com/press-release/innrly-joins-m3s-partner-ecosystem/" TargetMode="External"/><Relationship Id="rIdxldg--gcchy05a8xciag2" Type="http://schemas.openxmlformats.org/officeDocument/2006/relationships/hyperlink" Target="https://innrly.com/blog/hotel-labor-cost-percentage" TargetMode="External"/><Relationship Id="rIdwu20tlqcyeslolswobnrp" Type="http://schemas.openxmlformats.org/officeDocument/2006/relationships/hyperlink" Target="https://www.dol.gov/agencies/whd/fact-sheets/22-flsa-hours-worked" TargetMode="External"/><Relationship Id="rIds8gjoo8lszi58gh7ajnkj" Type="http://schemas.openxmlformats.org/officeDocument/2006/relationships/hyperlink" Target="https://innrly.com/blog/mpor-explained" TargetMode="External"/><Relationship Id="rIdaulbqiwew2hol2dmnxllh" Type="http://schemas.openxmlformats.org/officeDocument/2006/relationships/hyperlink" Target="https://innrly.com/blog/smarter-timeclock-system-innrly" TargetMode="External"/><Relationship Id="rIdfp5abhn8bhsqi4zzmit2u" Type="http://schemas.openxmlformats.org/officeDocument/2006/relationships/hyperlink" Target="https://innrly.com/blog/labor-cost-blind-spots" TargetMode="External"/><Relationship Id="rId98ucia4qnrbffyvpjkgot" Type="http://schemas.openxmlformats.org/officeDocument/2006/relationships/hyperlink" Target="https://innrly.com/blog/hyperpersonalization-20-leveraging-ai-and-biometric-data-for-bespoke-guest-experiences" TargetMode="External"/><Relationship Id="rIdpv9poldfbarsyuqydbldy" Type="http://schemas.openxmlformats.org/officeDocument/2006/relationships/hyperlink" Target="https://innrly.com/blog/backofhouse-robotics-solving-labor-shortages-with-ai-chefs-and-automated-housekeeping" TargetMode="External"/><Relationship Id="rIdz_s_i3ailpgfswldlvs6q" Type="http://schemas.openxmlformats.org/officeDocument/2006/relationships/hyperlink" Target="https://innrly.com/blog/regenerative-tourism-sustainability" TargetMode="External"/><Relationship Id="rIdrbsjgbazwp-yglvqqhobc" Type="http://schemas.openxmlformats.org/officeDocument/2006/relationships/hyperlink" Target="https://innrly.com/blog/night-audit-automation" TargetMode="External"/><Relationship Id="rIdf9efczh0agt2e_33acw_q" Type="http://schemas.openxmlformats.org/officeDocument/2006/relationships/hyperlink" Target="https://www.amadeus-hospitality.com/service-optimization-software/hotsos/" TargetMode="External"/><Relationship Id="rIdbsmxcdqderrpon4ujmisc" Type="http://schemas.openxmlformats.org/officeDocument/2006/relationships/hyperlink" Target="https://innrly.com/blog/multi-property-accounting-software" TargetMode="External"/><Relationship Id="rIdsrksekfv5cevxvtwwy3nk" Type="http://schemas.openxmlformats.org/officeDocument/2006/relationships/hyperlink" Target="https://otelier.io/products/rec/" TargetMode="External"/><Relationship Id="rId7cbl9ggpugpmtop3vejyw" Type="http://schemas.openxmlformats.org/officeDocument/2006/relationships/hyperlink" Target="https://www.ahla.com/news/65-surveyed-hotels-report-staffing-shortage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2026-10-24T14:30:35.824Z</dcterms:created>
  <dcterms:modified xsi:type="dcterms:W3CDTF">2026-10-24T14:30:35.826Z</dcterms:modified>
</cp:coreProperties>
</file>

<file path=docProps/custom.xml><?xml version="1.0" encoding="utf-8"?>
<Properties xmlns="http://schemas.openxmlformats.org/officeDocument/2006/custom-properties" xmlns:vt="http://schemas.openxmlformats.org/officeDocument/2006/docPropsVTypes"/>
</file>