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4095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23875"/>
                    </a:xfrm>
                    <a:prstGeom prst="rect">
                      <a:avLst/>
                    </a:prstGeom>
                  </pic:spPr>
                </pic:pic>
              </a:graphicData>
            </a:graphic>
          </wp:inline>
        </w:drawing>
      </w:r>
    </w:p>
    <w:p>
      <w:pPr>
        <w:spacing w:after="80" w:line="276" w:lineRule="auto"/>
        <w:jc w:val="center"/>
      </w:pPr>
      <w:r>
        <w:rPr>
          <w:rFonts w:ascii="Times New Roman" w:cs="Times New Roman" w:eastAsia="Times New Roman" w:hAnsi="Times New Roman"/>
          <w:b/>
          <w:bCs/>
          <w:i w:val="false"/>
          <w:iCs w:val="false"/>
          <w:sz w:val="32"/>
          <w:szCs w:val="32"/>
        </w:rPr>
        <w:t xml:space="preserve">SMART VEHICLE SERVICE MANAGEMENT SYSTEM USING JAVA</w:t>
      </w:r>
    </w:p>
    <w:p>
      <w:pPr>
        <w:spacing w:after="300" w:line="276" w:lineRule="auto"/>
        <w:jc w:val="center"/>
      </w:pPr>
      <w:r>
        <w:rPr>
          <w:rFonts w:ascii="Times New Roman" w:cs="Times New Roman" w:eastAsia="Times New Roman" w:hAnsi="Times New Roman"/>
          <w:b/>
          <w:bCs/>
          <w:i w:val="false"/>
          <w:iCs w:val="false"/>
          <w:sz w:val="26"/>
          <w:szCs w:val="26"/>
        </w:rPr>
        <w:t xml:space="preserve">MODULE 3 – SPARE PARTS INVENTORY AND BILLING MANAGEMENT</w:t>
      </w:r>
    </w:p>
    <w:p>
      <w:pPr>
        <w:spacing w:after="400" w:line="276" w:lineRule="auto"/>
        <w:jc w:val="center"/>
      </w:pPr>
      <w:r>
        <w:rPr>
          <w:rFonts w:ascii="Times New Roman" w:cs="Times New Roman" w:eastAsia="Times New Roman" w:hAnsi="Times New Roman"/>
          <w:b w:val="false"/>
          <w:bCs w:val="false"/>
          <w:i/>
          <w:iCs/>
          <w:sz w:val="24"/>
          <w:szCs w:val="24"/>
        </w:rPr>
        <w:t xml:space="preserve">(Individual Contribution Report)</w:t>
      </w:r>
    </w:p>
    <w:p>
      <w:pPr>
        <w:spacing w:after="400" w:line="276" w:lineRule="auto"/>
        <w:jc w:val="center"/>
      </w:pPr>
      <w:r>
        <w:rPr>
          <w:rFonts w:ascii="Times New Roman" w:cs="Times New Roman" w:eastAsia="Times New Roman" w:hAnsi="Times New Roman"/>
          <w:b/>
          <w:bCs/>
          <w:i w:val="false"/>
          <w:iCs w:val="false"/>
          <w:sz w:val="26"/>
          <w:szCs w:val="26"/>
        </w:rPr>
        <w:t xml:space="preserve">A CAPSTONE PROJECT REPORT</w:t>
      </w:r>
    </w:p>
    <w:p>
      <w:pPr>
        <w:spacing w:after="300" w:line="276" w:lineRule="auto"/>
        <w:jc w:val="center"/>
      </w:pPr>
      <w:r>
        <w:rPr>
          <w:rFonts w:ascii="Times New Roman" w:cs="Times New Roman" w:eastAsia="Times New Roman" w:hAnsi="Times New Roman"/>
          <w:i/>
          <w:iCs/>
          <w:sz w:val="24"/>
          <w:szCs w:val="24"/>
        </w:rPr>
        <w:t xml:space="preserve">A Capstone Project Report submitted in partial fulfilment of the requirements for the Course of</w:t>
      </w:r>
    </w:p>
    <w:p>
      <w:pPr>
        <w:spacing w:after="400" w:line="276" w:lineRule="auto"/>
        <w:jc w:val="center"/>
      </w:pPr>
      <w:r>
        <w:rPr>
          <w:rFonts w:ascii="Times New Roman" w:cs="Times New Roman" w:eastAsia="Times New Roman" w:hAnsi="Times New Roman"/>
          <w:b/>
          <w:bCs/>
          <w:i w:val="false"/>
          <w:iCs w:val="false"/>
          <w:sz w:val="24"/>
          <w:szCs w:val="24"/>
        </w:rPr>
        <w:t xml:space="preserve">CSA0911 – Java Programming</w:t>
      </w:r>
    </w:p>
    <w:p>
      <w:pPr>
        <w:spacing w:after="200" w:line="276" w:lineRule="auto"/>
        <w:jc w:val="center"/>
      </w:pPr>
      <w:r>
        <w:rPr>
          <w:rFonts w:ascii="Times New Roman" w:cs="Times New Roman" w:eastAsia="Times New Roman" w:hAnsi="Times New Roman"/>
          <w:i/>
          <w:iCs/>
          <w:sz w:val="24"/>
          <w:szCs w:val="24"/>
        </w:rPr>
        <w:t xml:space="preserve">to the award of the degree of</w:t>
      </w:r>
    </w:p>
    <w:p>
      <w:pPr>
        <w:spacing w:after="60" w:line="276" w:lineRule="auto"/>
        <w:jc w:val="center"/>
      </w:pPr>
      <w:r>
        <w:rPr>
          <w:rFonts w:ascii="Times New Roman" w:cs="Times New Roman" w:eastAsia="Times New Roman" w:hAnsi="Times New Roman"/>
          <w:b/>
          <w:bCs/>
          <w:i w:val="false"/>
          <w:iCs w:val="false"/>
          <w:sz w:val="24"/>
          <w:szCs w:val="24"/>
        </w:rPr>
        <w:t xml:space="preserve">BACHELOR OF ENGINEERING</w:t>
      </w:r>
    </w:p>
    <w:p>
      <w:pPr>
        <w:spacing w:after="60" w:line="276" w:lineRule="auto"/>
        <w:jc w:val="center"/>
      </w:pPr>
      <w:r>
        <w:rPr>
          <w:rFonts w:ascii="Times New Roman" w:cs="Times New Roman" w:eastAsia="Times New Roman" w:hAnsi="Times New Roman"/>
          <w:b/>
          <w:bCs/>
          <w:i w:val="false"/>
          <w:iCs w:val="false"/>
          <w:sz w:val="24"/>
          <w:szCs w:val="24"/>
        </w:rPr>
        <w:t xml:space="preserve">IN</w:t>
      </w:r>
    </w:p>
    <w:p>
      <w:pPr>
        <w:spacing w:after="400" w:line="276" w:lineRule="auto"/>
        <w:jc w:val="center"/>
      </w:pPr>
      <w:r>
        <w:rPr>
          <w:rFonts w:ascii="Times New Roman" w:cs="Times New Roman" w:eastAsia="Times New Roman" w:hAnsi="Times New Roman"/>
          <w:b/>
          <w:bCs/>
          <w:i w:val="false"/>
          <w:iCs w:val="false"/>
          <w:sz w:val="24"/>
          <w:szCs w:val="24"/>
        </w:rPr>
        <w:t xml:space="preserve">COMPUTER SCIENCE AND ENGINEERING (ARTIFICIAL INTELLIGENCE)</w:t>
      </w:r>
    </w:p>
    <w:p>
      <w:pPr>
        <w:spacing w:after="120" w:line="276" w:lineRule="auto"/>
        <w:jc w:val="center"/>
      </w:pPr>
      <w:r>
        <w:rPr>
          <w:rFonts w:ascii="Times New Roman" w:cs="Times New Roman" w:eastAsia="Times New Roman" w:hAnsi="Times New Roman"/>
          <w:b w:val="false"/>
          <w:bCs w:val="false"/>
          <w:i w:val="false"/>
          <w:iCs w:val="false"/>
          <w:sz w:val="24"/>
          <w:szCs w:val="24"/>
        </w:rPr>
        <w:t xml:space="preserve">Submitted by</w:t>
      </w:r>
    </w:p>
    <w:p>
      <w:pPr>
        <w:spacing w:after="400" w:line="276" w:lineRule="auto"/>
        <w:jc w:val="center"/>
      </w:pPr>
      <w:r>
        <w:rPr>
          <w:rFonts w:ascii="Times New Roman" w:cs="Times New Roman" w:eastAsia="Times New Roman" w:hAnsi="Times New Roman"/>
          <w:b/>
          <w:bCs/>
          <w:i w:val="false"/>
          <w:iCs w:val="false"/>
          <w:sz w:val="24"/>
          <w:szCs w:val="24"/>
        </w:rPr>
        <w:t xml:space="preserve">M. Bhavesh (192572024)</w:t>
      </w:r>
    </w:p>
    <w:p>
      <w:pPr>
        <w:spacing w:after="120" w:line="276" w:lineRule="auto"/>
        <w:jc w:val="center"/>
      </w:pPr>
      <w:r>
        <w:rPr>
          <w:rFonts w:ascii="Times New Roman" w:cs="Times New Roman" w:eastAsia="Times New Roman" w:hAnsi="Times New Roman"/>
          <w:b w:val="false"/>
          <w:bCs w:val="false"/>
          <w:i w:val="false"/>
          <w:iCs w:val="false"/>
          <w:sz w:val="24"/>
          <w:szCs w:val="24"/>
        </w:rPr>
        <w:t xml:space="preserve">Under the Supervision of</w:t>
      </w:r>
    </w:p>
    <w:p>
      <w:pPr>
        <w:spacing w:after="500" w:line="276" w:lineRule="auto"/>
        <w:jc w:val="center"/>
      </w:pPr>
      <w:r>
        <w:rPr>
          <w:rFonts w:ascii="Times New Roman" w:cs="Times New Roman" w:eastAsia="Times New Roman" w:hAnsi="Times New Roman"/>
          <w:b/>
          <w:bCs/>
          <w:i w:val="false"/>
          <w:iCs w:val="false"/>
          <w:sz w:val="24"/>
          <w:szCs w:val="24"/>
        </w:rPr>
        <w:t xml:space="preserve">Dr. Thalapathi Rajasekaran R</w:t>
      </w:r>
    </w:p>
    <w:p>
      <w:pPr>
        <w:spacing w:after="80" w:line="276" w:lineRule="auto"/>
        <w:jc w:val="center"/>
      </w:pPr>
      <w:r>
        <w:rPr>
          <w:rFonts w:ascii="Times New Roman" w:cs="Times New Roman" w:eastAsia="Times New Roman" w:hAnsi="Times New Roman"/>
          <w:b/>
          <w:bCs/>
          <w:i w:val="false"/>
          <w:iCs w:val="false"/>
          <w:sz w:val="28"/>
          <w:szCs w:val="28"/>
        </w:rPr>
        <w:t xml:space="preserve">SIMATS ENGINEERING</w:t>
      </w:r>
    </w:p>
    <w:p>
      <w:pPr>
        <w:spacing w:after="80" w:line="276" w:lineRule="auto"/>
        <w:jc w:val="center"/>
      </w:pPr>
      <w:r>
        <w:rPr>
          <w:rFonts w:ascii="Times New Roman" w:cs="Times New Roman" w:eastAsia="Times New Roman" w:hAnsi="Times New Roman"/>
          <w:b/>
          <w:bCs/>
          <w:i w:val="false"/>
          <w:iCs w:val="false"/>
          <w:sz w:val="24"/>
          <w:szCs w:val="24"/>
        </w:rPr>
        <w:t xml:space="preserve">Saveetha Institute of Medical and Technical Sciences</w:t>
      </w:r>
    </w:p>
    <w:p>
      <w:pPr>
        <w:spacing w:after="300" w:line="276" w:lineRule="auto"/>
        <w:jc w:val="center"/>
      </w:pPr>
      <w:r>
        <w:rPr>
          <w:rFonts w:ascii="Times New Roman" w:cs="Times New Roman" w:eastAsia="Times New Roman" w:hAnsi="Times New Roman"/>
          <w:b/>
          <w:bCs/>
          <w:i w:val="false"/>
          <w:iCs w:val="false"/>
          <w:sz w:val="24"/>
          <w:szCs w:val="24"/>
        </w:rPr>
        <w:t xml:space="preserve">Chennai-602105</w:t>
      </w:r>
    </w:p>
    <w:p>
      <w:pPr>
        <w:spacing w:after="100" w:line="276" w:lineRule="auto"/>
        <w:jc w:val="center"/>
      </w:pPr>
      <w:r>
        <w:rPr>
          <w:rFonts w:ascii="Times New Roman" w:cs="Times New Roman" w:eastAsia="Times New Roman" w:hAnsi="Times New Roman"/>
          <w:b/>
          <w:bCs/>
          <w:i w:val="false"/>
          <w:iCs w:val="false"/>
          <w:sz w:val="24"/>
          <w:szCs w:val="24"/>
        </w:rPr>
        <w:t xml:space="preserve">SEPTEMBER 2026</w:t>
      </w:r>
    </w:p>
    <w:p>
      <w:r>
        <w:br w:type="page"/>
      </w:r>
    </w:p>
    <w:p>
      <w:pPr>
        <w:spacing w:after="300"/>
        <w:jc w:val="center"/>
      </w:pPr>
      <w:r>
        <w:drawing>
          <wp:inline distT="0" distB="0" distL="0" distR="0">
            <wp:extent cx="4095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23875"/>
                    </a:xfrm>
                    <a:prstGeom prst="rect">
                      <a:avLst/>
                    </a:prstGeom>
                  </pic:spPr>
                </pic:pic>
              </a:graphicData>
            </a:graphic>
          </wp:inline>
        </w:drawing>
      </w:r>
    </w:p>
    <w:p>
      <w:pPr>
        <w:spacing w:after="40" w:line="276" w:lineRule="auto"/>
        <w:jc w:val="center"/>
      </w:pPr>
      <w:r>
        <w:rPr>
          <w:rFonts w:ascii="Times New Roman" w:cs="Times New Roman" w:eastAsia="Times New Roman" w:hAnsi="Times New Roman"/>
          <w:b/>
          <w:bCs/>
          <w:i w:val="false"/>
          <w:iCs w:val="false"/>
          <w:sz w:val="24"/>
          <w:szCs w:val="24"/>
        </w:rPr>
        <w:t xml:space="preserve">SIMATS ENGINEERING</w:t>
      </w:r>
    </w:p>
    <w:p>
      <w:pPr>
        <w:spacing w:after="40" w:line="276" w:lineRule="auto"/>
        <w:jc w:val="center"/>
      </w:pPr>
      <w:r>
        <w:rPr>
          <w:rFonts w:ascii="Times New Roman" w:cs="Times New Roman" w:eastAsia="Times New Roman" w:hAnsi="Times New Roman"/>
          <w:b w:val="false"/>
          <w:bCs w:val="false"/>
          <w:i w:val="false"/>
          <w:iCs w:val="false"/>
          <w:sz w:val="24"/>
          <w:szCs w:val="24"/>
        </w:rPr>
        <w:t xml:space="preserve">Saveetha Institute of Medical and Technical Sciences</w:t>
      </w:r>
    </w:p>
    <w:p>
      <w:pPr>
        <w:spacing w:after="300" w:line="276" w:lineRule="auto"/>
        <w:jc w:val="center"/>
      </w:pPr>
      <w:r>
        <w:rPr>
          <w:rFonts w:ascii="Times New Roman" w:cs="Times New Roman" w:eastAsia="Times New Roman" w:hAnsi="Times New Roman"/>
          <w:b w:val="false"/>
          <w:bCs w:val="false"/>
          <w:i w:val="false"/>
          <w:iCs w:val="false"/>
          <w:sz w:val="24"/>
          <w:szCs w:val="24"/>
        </w:rPr>
        <w:t xml:space="preserve">Chennai-602105</w:t>
      </w:r>
    </w:p>
    <w:p>
      <w:pPr>
        <w:spacing w:after="300" w:line="276" w:lineRule="auto"/>
        <w:jc w:val="center"/>
      </w:pPr>
      <w:r>
        <w:rPr>
          <w:rFonts w:ascii="Times New Roman" w:cs="Times New Roman" w:eastAsia="Times New Roman" w:hAnsi="Times New Roman"/>
          <w:b/>
          <w:bCs/>
          <w:i w:val="false"/>
          <w:iCs w:val="false"/>
          <w:sz w:val="28"/>
          <w:szCs w:val="28"/>
        </w:rPr>
        <w:t xml:space="preserve">BONAFIDE CERTIFICATE</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This is to certify that the Capstone Project Module 3 report entitled "Spare Parts Inventory and Billing Management" — an individual contribution towards the team project "Smart Vehicle Service Management System Using Java" — has been carried out by M. Bhavesh (Reg. No. 192572024) under the supervision of Dr. Thalapathi Rajasekaran R, and is submitted in partial fulfilment of the requirements for the current semester of the B.E. Computer Science and Engineering (Artificial Intelligence) programme at Saveetha Institute of Medical and Technical Sciences, Chennai.</w:t>
      </w:r>
    </w:p>
    <w:p>
      <w:pPr>
        <w:spacing w:after="600" w:before="6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COURSE COORDINATOR</w:t>
            </w:r>
          </w:p>
          <w:p>
            <w:pPr>
              <w:spacing w:before="400"/>
            </w:pPr>
            <w:r>
              <w:rPr>
                <w:rFonts w:ascii="Times New Roman" w:cs="Times New Roman" w:eastAsia="Times New Roman" w:hAnsi="Times New Roman"/>
                <w:sz w:val="24"/>
                <w:szCs w:val="24"/>
              </w:rPr>
              <w:t xml:space="preserve">Dr. G. Charlyn Pushpa Latha,</w:t>
            </w:r>
          </w:p>
          <w:p>
            <w:r>
              <w:rPr>
                <w:rFonts w:ascii="Times New Roman" w:cs="Times New Roman" w:eastAsia="Times New Roman" w:hAnsi="Times New Roman"/>
                <w:sz w:val="24"/>
                <w:szCs w:val="24"/>
              </w:rPr>
              <w:t xml:space="preserve">Professor, Department of CSE,</w:t>
            </w:r>
          </w:p>
          <w:p>
            <w:r>
              <w:rPr>
                <w:rFonts w:ascii="Times New Roman" w:cs="Times New Roman" w:eastAsia="Times New Roman" w:hAnsi="Times New Roman"/>
                <w:sz w:val="24"/>
                <w:szCs w:val="24"/>
              </w:rPr>
              <w:t xml:space="preserve">SIMATS Engineering,</w:t>
            </w:r>
          </w:p>
          <w:p>
            <w:r>
              <w:rPr>
                <w:rFonts w:ascii="Times New Roman" w:cs="Times New Roman" w:eastAsia="Times New Roman" w:hAnsi="Times New Roman"/>
                <w:sz w:val="24"/>
                <w:szCs w:val="24"/>
              </w:rPr>
              <w:t xml:space="preserve">SIMATS, Chennai – 602105.</w:t>
            </w:r>
          </w:p>
        </w:tc>
        <w:tc>
          <w:tcPr>
            <w:tcW w:type="dxa" w:w="45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COURSE FACULTY</w:t>
            </w:r>
          </w:p>
          <w:p>
            <w:pPr>
              <w:spacing w:before="400"/>
            </w:pPr>
            <w:r>
              <w:rPr>
                <w:rFonts w:ascii="Times New Roman" w:cs="Times New Roman" w:eastAsia="Times New Roman" w:hAnsi="Times New Roman"/>
                <w:sz w:val="24"/>
                <w:szCs w:val="24"/>
              </w:rPr>
              <w:t xml:space="preserve">Dr. Thalapathi Rajasekaran R,</w:t>
            </w:r>
          </w:p>
          <w:p>
            <w:r>
              <w:rPr>
                <w:rFonts w:ascii="Times New Roman" w:cs="Times New Roman" w:eastAsia="Times New Roman" w:hAnsi="Times New Roman"/>
                <w:sz w:val="24"/>
                <w:szCs w:val="24"/>
              </w:rPr>
              <w:t xml:space="preserve">Department of CSE,</w:t>
            </w:r>
          </w:p>
          <w:p>
            <w:r>
              <w:rPr>
                <w:rFonts w:ascii="Times New Roman" w:cs="Times New Roman" w:eastAsia="Times New Roman" w:hAnsi="Times New Roman"/>
                <w:sz w:val="24"/>
                <w:szCs w:val="24"/>
              </w:rPr>
              <w:t xml:space="preserve">SIMATS Engineering,</w:t>
            </w:r>
          </w:p>
          <w:p>
            <w:r>
              <w:rPr>
                <w:rFonts w:ascii="Times New Roman" w:cs="Times New Roman" w:eastAsia="Times New Roman" w:hAnsi="Times New Roman"/>
                <w:sz w:val="24"/>
                <w:szCs w:val="24"/>
              </w:rPr>
              <w:t xml:space="preserve">SIMATS, Chennai – 602105.</w:t>
            </w:r>
          </w:p>
        </w:tc>
      </w:tr>
    </w:tbl>
    <w:p>
      <w:r>
        <w:br w:type="page"/>
      </w:r>
    </w:p>
    <w:p>
      <w:pPr>
        <w:spacing w:after="300"/>
        <w:jc w:val="center"/>
      </w:pPr>
      <w:r>
        <w:drawing>
          <wp:inline distT="0" distB="0" distL="0" distR="0">
            <wp:extent cx="4095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23875"/>
                    </a:xfrm>
                    <a:prstGeom prst="rect">
                      <a:avLst/>
                    </a:prstGeom>
                  </pic:spPr>
                </pic:pic>
              </a:graphicData>
            </a:graphic>
          </wp:inline>
        </w:drawing>
      </w:r>
    </w:p>
    <w:p>
      <w:pPr>
        <w:spacing w:after="40" w:line="276" w:lineRule="auto"/>
        <w:jc w:val="center"/>
      </w:pPr>
      <w:r>
        <w:rPr>
          <w:rFonts w:ascii="Times New Roman" w:cs="Times New Roman" w:eastAsia="Times New Roman" w:hAnsi="Times New Roman"/>
          <w:b/>
          <w:bCs/>
          <w:i w:val="false"/>
          <w:iCs w:val="false"/>
          <w:sz w:val="24"/>
          <w:szCs w:val="24"/>
        </w:rPr>
        <w:t xml:space="preserve">SIMATS ENGINEERING</w:t>
      </w:r>
    </w:p>
    <w:p>
      <w:pPr>
        <w:spacing w:after="40" w:line="276" w:lineRule="auto"/>
        <w:jc w:val="center"/>
      </w:pPr>
      <w:r>
        <w:rPr>
          <w:rFonts w:ascii="Times New Roman" w:cs="Times New Roman" w:eastAsia="Times New Roman" w:hAnsi="Times New Roman"/>
          <w:b w:val="false"/>
          <w:bCs w:val="false"/>
          <w:i w:val="false"/>
          <w:iCs w:val="false"/>
          <w:sz w:val="24"/>
          <w:szCs w:val="24"/>
        </w:rPr>
        <w:t xml:space="preserve">Saveetha Institute of Medical and Technical Sciences</w:t>
      </w:r>
    </w:p>
    <w:p>
      <w:pPr>
        <w:spacing w:after="300" w:line="276" w:lineRule="auto"/>
        <w:jc w:val="center"/>
      </w:pPr>
      <w:r>
        <w:rPr>
          <w:rFonts w:ascii="Times New Roman" w:cs="Times New Roman" w:eastAsia="Times New Roman" w:hAnsi="Times New Roman"/>
          <w:b w:val="false"/>
          <w:bCs w:val="false"/>
          <w:i w:val="false"/>
          <w:iCs w:val="false"/>
          <w:sz w:val="24"/>
          <w:szCs w:val="24"/>
        </w:rPr>
        <w:t xml:space="preserve">Chennai-602105</w:t>
      </w:r>
    </w:p>
    <w:p>
      <w:pPr>
        <w:spacing w:after="300" w:line="276" w:lineRule="auto"/>
        <w:jc w:val="center"/>
      </w:pPr>
      <w:r>
        <w:rPr>
          <w:rFonts w:ascii="Times New Roman" w:cs="Times New Roman" w:eastAsia="Times New Roman" w:hAnsi="Times New Roman"/>
          <w:b/>
          <w:bCs/>
          <w:i w:val="false"/>
          <w:iCs w:val="false"/>
          <w:sz w:val="28"/>
          <w:szCs w:val="28"/>
        </w:rPr>
        <w:t xml:space="preserve">DECLARATION</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I, M. Bhavesh, Reg. No. 192572024, of the Department of Computer Science and Engineering (Artificial Intelligence), SIMATS Engineering, Saveetha Institute of Medical and Technical Sciences, Chennai, hereby declare that the work presented in this report — covering my individual contribution to Module 3: Spare Parts Inventory and Billing Management, carried out as part of the team capstone project "Smart Vehicle Service Management System Using Java" — is the result of my own bonafide effort. To the best of my knowledge, the work presented herein is original, accurate, and has been carried out in accordance with the principles of engineering ethics and academic integrity.</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All sources, references, data, and other materials used in the preparation of this report have been appropriately acknowledged. I further declare that the design details, analysis, and findings presented in this report have not been fabricated, falsified, or manipulated. Any external tools, software, datasets, computational resources, or AI-assisted tools used during the preparation of this module and this report have been appropriately disclosed. I confirm that all applicable ethical, academic, institutional, and professional requirements have been duly followed throughout the planning, design, and documentation of this module.</w:t>
      </w:r>
    </w:p>
    <w:p>
      <w:pPr>
        <w:spacing w:after="100" w:before="500"/>
      </w:pPr>
      <w:r>
        <w:rPr>
          <w:rFonts w:ascii="Times New Roman" w:cs="Times New Roman" w:eastAsia="Times New Roman" w:hAnsi="Times New Roman"/>
          <w:sz w:val="24"/>
          <w:szCs w:val="24"/>
        </w:rPr>
        <w:t xml:space="preserve">Place: Chennai</w:t>
      </w:r>
    </w:p>
    <w:p>
      <w:pPr>
        <w:spacing w:after="500"/>
      </w:pPr>
      <w:r>
        <w:rPr>
          <w:rFonts w:ascii="Times New Roman" w:cs="Times New Roman" w:eastAsia="Times New Roman" w:hAnsi="Times New Roman"/>
          <w:sz w:val="24"/>
          <w:szCs w:val="24"/>
        </w:rPr>
        <w:t xml:space="preserve">Date:</w:t>
      </w:r>
    </w:p>
    <w:p>
      <w:pPr>
        <w:jc w:val="right"/>
      </w:pPr>
      <w:r>
        <w:rPr>
          <w:rFonts w:ascii="Times New Roman" w:cs="Times New Roman" w:eastAsia="Times New Roman" w:hAnsi="Times New Roman"/>
          <w:sz w:val="24"/>
          <w:szCs w:val="24"/>
        </w:rPr>
        <w:t xml:space="preserve">Signature of the Student with Name</w:t>
      </w:r>
    </w:p>
    <w:p>
      <w:r>
        <w:br w:type="page"/>
      </w:r>
    </w:p>
    <w:p>
      <w:pPr>
        <w:spacing w:after="300"/>
        <w:jc w:val="center"/>
      </w:pPr>
      <w:r>
        <w:drawing>
          <wp:inline distT="0" distB="0" distL="0" distR="0">
            <wp:extent cx="4095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23875"/>
                    </a:xfrm>
                    <a:prstGeom prst="rect">
                      <a:avLst/>
                    </a:prstGeom>
                  </pic:spPr>
                </pic:pic>
              </a:graphicData>
            </a:graphic>
          </wp:inline>
        </w:drawing>
      </w:r>
    </w:p>
    <w:p>
      <w:pPr>
        <w:spacing w:after="40" w:line="276" w:lineRule="auto"/>
        <w:jc w:val="center"/>
      </w:pPr>
      <w:r>
        <w:rPr>
          <w:rFonts w:ascii="Times New Roman" w:cs="Times New Roman" w:eastAsia="Times New Roman" w:hAnsi="Times New Roman"/>
          <w:b/>
          <w:bCs/>
          <w:i w:val="false"/>
          <w:iCs w:val="false"/>
          <w:sz w:val="24"/>
          <w:szCs w:val="24"/>
        </w:rPr>
        <w:t xml:space="preserve">SIMATS ENGINEERING</w:t>
      </w:r>
    </w:p>
    <w:p>
      <w:pPr>
        <w:spacing w:after="40" w:line="276" w:lineRule="auto"/>
        <w:jc w:val="center"/>
      </w:pPr>
      <w:r>
        <w:rPr>
          <w:rFonts w:ascii="Times New Roman" w:cs="Times New Roman" w:eastAsia="Times New Roman" w:hAnsi="Times New Roman"/>
          <w:b w:val="false"/>
          <w:bCs w:val="false"/>
          <w:i w:val="false"/>
          <w:iCs w:val="false"/>
          <w:sz w:val="24"/>
          <w:szCs w:val="24"/>
        </w:rPr>
        <w:t xml:space="preserve">Saveetha Institute of Medical and Technical Sciences</w:t>
      </w:r>
    </w:p>
    <w:p>
      <w:pPr>
        <w:spacing w:after="300" w:line="276" w:lineRule="auto"/>
        <w:jc w:val="center"/>
      </w:pPr>
      <w:r>
        <w:rPr>
          <w:rFonts w:ascii="Times New Roman" w:cs="Times New Roman" w:eastAsia="Times New Roman" w:hAnsi="Times New Roman"/>
          <w:b w:val="false"/>
          <w:bCs w:val="false"/>
          <w:i w:val="false"/>
          <w:iCs w:val="false"/>
          <w:sz w:val="24"/>
          <w:szCs w:val="24"/>
        </w:rPr>
        <w:t xml:space="preserve">Chennai-602105</w:t>
      </w:r>
    </w:p>
    <w:p>
      <w:pPr>
        <w:spacing w:after="60" w:line="276" w:lineRule="auto"/>
        <w:jc w:val="center"/>
      </w:pPr>
      <w:r>
        <w:rPr>
          <w:rFonts w:ascii="Times New Roman" w:cs="Times New Roman" w:eastAsia="Times New Roman" w:hAnsi="Times New Roman"/>
          <w:b/>
          <w:bCs/>
          <w:i w:val="false"/>
          <w:iCs w:val="false"/>
          <w:sz w:val="28"/>
          <w:szCs w:val="28"/>
        </w:rPr>
        <w:t xml:space="preserve">Individual Contribution Statement</w:t>
      </w:r>
    </w:p>
    <w:p>
      <w:pPr>
        <w:spacing w:after="300" w:line="276" w:lineRule="auto"/>
        <w:jc w:val="center"/>
      </w:pPr>
      <w:r>
        <w:rPr>
          <w:rFonts w:ascii="Times New Roman" w:cs="Times New Roman" w:eastAsia="Times New Roman" w:hAnsi="Times New Roman"/>
          <w:b w:val="false"/>
          <w:bCs w:val="false"/>
          <w:i/>
          <w:iCs/>
          <w:sz w:val="24"/>
          <w:szCs w:val="24"/>
        </w:rPr>
        <w:t xml:space="preserve">(Module 3 – Spare Parts Inventory and Billing Management)</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337"/>
        <w:gridCol w:w="1671"/>
        <w:gridCol w:w="1671"/>
        <w:gridCol w:w="1671"/>
        <w:gridCol w:w="1504"/>
        <w:gridCol w:w="1170"/>
      </w:tblGrid>
      <w:tr>
        <w:trPr>
          <w:cantSplit/>
          <w:tblHeader/>
        </w:trPr>
        <w:tc>
          <w:tcPr>
            <w:tcW w:type="dxa" w:w="1337"/>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Student Name / Reg. No.</w:t>
            </w:r>
          </w:p>
        </w:tc>
        <w:tc>
          <w:tcPr>
            <w:tcW w:type="dxa" w:w="1671"/>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Specific Responsibilities</w:t>
            </w:r>
          </w:p>
        </w:tc>
        <w:tc>
          <w:tcPr>
            <w:tcW w:type="dxa" w:w="1671"/>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Design &amp; Development Contribution</w:t>
            </w:r>
          </w:p>
        </w:tc>
        <w:tc>
          <w:tcPr>
            <w:tcW w:type="dxa" w:w="1671"/>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Testing &amp; Analysis Contribution</w:t>
            </w:r>
          </w:p>
        </w:tc>
        <w:tc>
          <w:tcPr>
            <w:tcW w:type="dxa" w:w="1504"/>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Report Contribution</w:t>
            </w:r>
          </w:p>
        </w:tc>
        <w:tc>
          <w:tcPr>
            <w:tcW w:type="dxa" w:w="117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Approx. Contribution (%)</w:t>
            </w:r>
          </w:p>
        </w:tc>
      </w:tr>
      <w:tr>
        <w:trPr>
          <w:cantSplit/>
        </w:trPr>
        <w:tc>
          <w:tcPr>
            <w:tcW w:type="dxa" w:w="1337"/>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 Bhavesh
192572024</w:t>
            </w:r>
          </w:p>
        </w:tc>
        <w:tc>
          <w:tcPr>
            <w:tcW w:type="dxa" w:w="1671"/>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Design and development of Module 3: Spare Parts Inventory &amp; Billing</w:t>
            </w:r>
          </w:p>
        </w:tc>
        <w:tc>
          <w:tcPr>
            <w:tcW w:type="dxa" w:w="1671"/>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Designed the spare-parts data model, stock-tracking and low-stock monitoring logic, and the bill-calculation and invoice-generation logic</w:t>
            </w:r>
          </w:p>
        </w:tc>
        <w:tc>
          <w:tcPr>
            <w:tcW w:type="dxa" w:w="1671"/>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Performed unit and module-level testing of inventory update, low-stock alert, tax/discount calculation and invoice-generation functions</w:t>
            </w:r>
          </w:p>
        </w:tc>
        <w:tc>
          <w:tcPr>
            <w:tcW w:type="dxa" w:w="150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Prepared Chapters 1–5, references and appendices of this individual module report</w:t>
            </w:r>
          </w:p>
        </w:tc>
        <w:tc>
          <w:tcPr>
            <w:tcW w:type="dxa" w:w="117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100% (of Module 3)</w:t>
            </w:r>
          </w:p>
        </w:tc>
      </w:tr>
    </w:tbl>
    <w:p>
      <w:pPr>
        <w:spacing w:after="160" w:line="276" w:lineRule="auto"/>
        <w:jc w:val="left"/>
      </w:pPr>
      <w:r>
        <w:rPr>
          <w:rFonts w:ascii="Times New Roman" w:cs="Times New Roman" w:eastAsia="Times New Roman" w:hAnsi="Times New Roman"/>
          <w:b w:val="false"/>
          <w:bCs w:val="false"/>
          <w:i w:val="false"/>
          <w:iCs w:val="false"/>
          <w:sz w:val="24"/>
          <w:szCs w:val="24"/>
        </w:rPr>
        <w:t xml:space="preserve">This statement reflects the individual contribution of M. Bhavesh towards Module 3 (Spare Parts Inventory and Billing Management) of the team project. The contributions of other team members towards Modules 1, 2, 4 and 5 are documented separately by them and are outside the scope of this individual report, as instructed.</w:t>
      </w:r>
    </w:p>
    <w:p>
      <w:r>
        <w:br w:type="page"/>
      </w:r>
    </w:p>
    <w:p>
      <w:pPr>
        <w:pStyle w:val="Heading1"/>
        <w:spacing w:after="240" w:before="200" w:line="276" w:lineRule="auto"/>
        <w:jc w:val="center"/>
      </w:pPr>
      <w:r>
        <w:rPr>
          <w:rFonts w:ascii="Times New Roman" w:cs="Times New Roman" w:eastAsia="Times New Roman" w:hAnsi="Times New Roman"/>
          <w:b/>
          <w:bCs/>
          <w:color w:val="000000"/>
          <w:sz w:val="28"/>
          <w:szCs w:val="28"/>
        </w:rPr>
        <w:t xml:space="preserve">ABSTRACT</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Vehicle service centres that continue to rely on manual or spreadsheet-based methods for tracking spare parts and generating customer bills frequently experience stock discrepancies, delayed reordering, and billing errors, all of which reduce operational efficiency and customer satisfaction. Within the broader capstone project, "Smart Vehicle Service Management System Using Java," this report documents the author's individual contribution: Module 3, Spare Parts Inventory and Billing Management. The engineering problem addressed is the absence of a reliable, automated mechanism to record spare-parts data, track stock levels in real time, flag low-stock items before they run out, and compute accurate service bills and invoices that combine service charges, spare-parts cost, applicable taxes and discounts.</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The module is significant because inaccurate inventory and billing directly affect a workshop's revenue, customer trust and turnaround time; an integrated software solution removes much of the manual effort and human error involved in these tasks. The proposed solution is a Java-based inventory and billing subsystem built on object-oriented design principles, using dedicated classes for spare parts, stock records, bills and invoices, and communicating with a relational database through JDBC via a dedicated Data Access Object (DAO) layer. The methodology followed a standard engineering design process: requirement analysis with stakeholders (billing officers, mechanics and administrators), system and database design, implementation using Java OOP, collections and exception handling, and structured testing at unit and module level before integration with the rest of the system.</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The module allows spare parts to be added, updated and searched with details such as part name, price, supplier and available quantity; stock is automatically adjusted whenever parts are purchased or consumed, and a low-stock indicator flags parts falling below a configurable reorder threshold. The billing component computes the total payable amount from service charges, spare-parts cost, tax and discount, and generates a structured invoice containing customer, vehicle, service, parts and payment details. Verification against the defined test plan showed that stock values update correctly after each transaction, low-stock alerts trigger at the intended threshold, and bill totals match manually computed reference values within the module's design tolerance. The principal conclusion is that a dedicated, well-structured inventory and billing module measurably reduces the manual effort and error associated with spare-parts tracking and billing in a vehicle service centre, while remaining extensible for future enhancements such as automated reordering and online payment integration.</w:t>
      </w:r>
    </w:p>
    <w:p>
      <w:pPr>
        <w:spacing w:after="100" w:before="200" w:line="276" w:lineRule="auto"/>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Java Programming; Object-Oriented Design; Spare Parts Inventory Management; Billing and Invoicing; Stock Tracking; Vehicle Service Management System.</w:t>
      </w:r>
    </w:p>
    <w:p>
      <w:r>
        <w:br w:type="page"/>
      </w:r>
    </w:p>
    <w:p>
      <w:pPr>
        <w:pStyle w:val="Heading1"/>
        <w:spacing w:after="240" w:before="200" w:line="276" w:lineRule="auto"/>
        <w:jc w:val="center"/>
      </w:pPr>
      <w:r>
        <w:rPr>
          <w:rFonts w:ascii="Times New Roman" w:cs="Times New Roman" w:eastAsia="Times New Roman" w:hAnsi="Times New Roman"/>
          <w:b/>
          <w:bCs/>
          <w:color w:val="000000"/>
          <w:sz w:val="28"/>
          <w:szCs w:val="28"/>
        </w:rPr>
        <w:t xml:space="preserve">TABLE OF CONTENTS</w:t>
      </w:r>
    </w:p>
    <w:p>
      <w:pPr>
        <w:spacing w:after="160" w:line="276" w:lineRule="auto"/>
        <w:jc w:val="both"/>
      </w:pPr>
      <w:r>
        <w:rPr>
          <w:rFonts w:ascii="Times New Roman" w:cs="Times New Roman" w:eastAsia="Times New Roman" w:hAnsi="Times New Roman"/>
          <w:b w:val="false"/>
          <w:bCs w:val="false"/>
          <w:i/>
          <w:iCs/>
          <w:sz w:val="24"/>
          <w:szCs w:val="24"/>
        </w:rPr>
        <w:t xml:space="preserve">(Fields below are Word-generated from the document headings — right-click and choose "Update Field" if the page numbers do not appear on first opening.)</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200" w:line="276" w:lineRule="auto"/>
        <w:jc w:val="center"/>
      </w:pPr>
      <w:r>
        <w:rPr>
          <w:rFonts w:ascii="Times New Roman" w:cs="Times New Roman" w:eastAsia="Times New Roman" w:hAnsi="Times New Roman"/>
          <w:b/>
          <w:bCs/>
          <w:color w:val="000000"/>
          <w:sz w:val="28"/>
          <w:szCs w:val="28"/>
        </w:rPr>
        <w:t xml:space="preserve">LIST OF FIGURES</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728"/>
        <w:gridCol w:w="5953"/>
        <w:gridCol w:w="1344"/>
      </w:tblGrid>
      <w:tr>
        <w:trPr>
          <w:cantSplit/>
          <w:tblHeader/>
        </w:trPr>
        <w:tc>
          <w:tcPr>
            <w:tcW w:type="dxa" w:w="1728"/>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Figure No.</w:t>
            </w:r>
          </w:p>
        </w:tc>
        <w:tc>
          <w:tcPr>
            <w:tcW w:type="dxa" w:w="5953"/>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Figure Name</w:t>
            </w:r>
          </w:p>
        </w:tc>
        <w:tc>
          <w:tcPr>
            <w:tcW w:type="dxa" w:w="1344"/>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Page No.</w:t>
            </w:r>
          </w:p>
        </w:tc>
      </w:tr>
      <w:tr>
        <w:trPr>
          <w:cantSplit/>
        </w:trPr>
        <w:tc>
          <w:tcPr>
            <w:tcW w:type="dxa" w:w="1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Figure 3.1</w:t>
            </w:r>
          </w:p>
        </w:tc>
        <w:tc>
          <w:tcPr>
            <w:tcW w:type="dxa" w:w="595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System architecture of the Smart Vehicle Service Management System, showing the Inventory and Billing components of Module 3 within the layered architecture</w:t>
            </w:r>
          </w:p>
        </w:tc>
        <w:tc>
          <w:tcPr>
            <w:tcW w:type="dxa" w:w="134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bl>
    <w:p>
      <w:pPr>
        <w:spacing w:after="160" w:line="276" w:lineRule="auto"/>
        <w:jc w:val="both"/>
      </w:pPr>
      <w:r>
        <w:rPr>
          <w:rFonts w:ascii="Times New Roman" w:cs="Times New Roman" w:eastAsia="Times New Roman" w:hAnsi="Times New Roman"/>
          <w:b w:val="false"/>
          <w:bCs w:val="false"/>
          <w:i/>
          <w:iCs/>
          <w:sz w:val="24"/>
          <w:szCs w:val="24"/>
        </w:rPr>
        <w:t xml:space="preserve">(Page numbers refer to the position of each figure within the report body and are updated automatically by Word.)</w:t>
      </w:r>
    </w:p>
    <w:p>
      <w:r>
        <w:br w:type="page"/>
      </w:r>
    </w:p>
    <w:p>
      <w:pPr>
        <w:pStyle w:val="Heading1"/>
        <w:spacing w:after="240" w:before="200" w:line="276" w:lineRule="auto"/>
        <w:jc w:val="center"/>
      </w:pPr>
      <w:r>
        <w:rPr>
          <w:rFonts w:ascii="Times New Roman" w:cs="Times New Roman" w:eastAsia="Times New Roman" w:hAnsi="Times New Roman"/>
          <w:b/>
          <w:bCs/>
          <w:color w:val="000000"/>
          <w:sz w:val="28"/>
          <w:szCs w:val="28"/>
        </w:rPr>
        <w:t xml:space="preserve">LIST OF TABLES</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728"/>
        <w:gridCol w:w="5953"/>
        <w:gridCol w:w="1344"/>
      </w:tblGrid>
      <w:tr>
        <w:trPr>
          <w:cantSplit/>
          <w:tblHeader/>
        </w:trPr>
        <w:tc>
          <w:tcPr>
            <w:tcW w:type="dxa" w:w="1728"/>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Table No.</w:t>
            </w:r>
          </w:p>
        </w:tc>
        <w:tc>
          <w:tcPr>
            <w:tcW w:type="dxa" w:w="5953"/>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Table Name</w:t>
            </w:r>
          </w:p>
        </w:tc>
        <w:tc>
          <w:tcPr>
            <w:tcW w:type="dxa" w:w="1344"/>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Page No.</w:t>
            </w:r>
          </w:p>
        </w:tc>
      </w:tr>
      <w:tr>
        <w:trPr>
          <w:cantSplit/>
        </w:trPr>
        <w:tc>
          <w:tcPr>
            <w:tcW w:type="dxa" w:w="1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Table (Front matter)</w:t>
            </w:r>
          </w:p>
        </w:tc>
        <w:tc>
          <w:tcPr>
            <w:tcW w:type="dxa" w:w="595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Individual Contribution Statement</w:t>
            </w:r>
          </w:p>
        </w:tc>
        <w:tc>
          <w:tcPr>
            <w:tcW w:type="dxa" w:w="134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Table 2.1</w:t>
            </w:r>
          </w:p>
        </w:tc>
        <w:tc>
          <w:tcPr>
            <w:tcW w:type="dxa" w:w="595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Comparative Analysis of Existing Vehicle Service / Inventory-Billing Systems</w:t>
            </w:r>
          </w:p>
        </w:tc>
        <w:tc>
          <w:tcPr>
            <w:tcW w:type="dxa" w:w="134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Table 3.1</w:t>
            </w:r>
          </w:p>
        </w:tc>
        <w:tc>
          <w:tcPr>
            <w:tcW w:type="dxa" w:w="595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Stakeholder / User Requirements</w:t>
            </w:r>
          </w:p>
        </w:tc>
        <w:tc>
          <w:tcPr>
            <w:tcW w:type="dxa" w:w="134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Table 3.2</w:t>
            </w:r>
          </w:p>
        </w:tc>
        <w:tc>
          <w:tcPr>
            <w:tcW w:type="dxa" w:w="595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Functional and Non-Functional Requirements</w:t>
            </w:r>
          </w:p>
        </w:tc>
        <w:tc>
          <w:tcPr>
            <w:tcW w:type="dxa" w:w="134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Table 3.3</w:t>
            </w:r>
          </w:p>
        </w:tc>
        <w:tc>
          <w:tcPr>
            <w:tcW w:type="dxa" w:w="595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Constraints and Applicable Standards</w:t>
            </w:r>
          </w:p>
        </w:tc>
        <w:tc>
          <w:tcPr>
            <w:tcW w:type="dxa" w:w="134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Table 3.4</w:t>
            </w:r>
          </w:p>
        </w:tc>
        <w:tc>
          <w:tcPr>
            <w:tcW w:type="dxa" w:w="595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Design Specifications</w:t>
            </w:r>
          </w:p>
        </w:tc>
        <w:tc>
          <w:tcPr>
            <w:tcW w:type="dxa" w:w="134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Table 3.5</w:t>
            </w:r>
          </w:p>
        </w:tc>
        <w:tc>
          <w:tcPr>
            <w:tcW w:type="dxa" w:w="595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Alternative Solutions – Evaluation Matrix</w:t>
            </w:r>
          </w:p>
        </w:tc>
        <w:tc>
          <w:tcPr>
            <w:tcW w:type="dxa" w:w="134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Table 3.6</w:t>
            </w:r>
          </w:p>
        </w:tc>
        <w:tc>
          <w:tcPr>
            <w:tcW w:type="dxa" w:w="595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Trade-off Analysis</w:t>
            </w:r>
          </w:p>
        </w:tc>
        <w:tc>
          <w:tcPr>
            <w:tcW w:type="dxa" w:w="134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Table 3.7</w:t>
            </w:r>
          </w:p>
        </w:tc>
        <w:tc>
          <w:tcPr>
            <w:tcW w:type="dxa" w:w="595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Sustainability, Ethics, Safety and Security Considerations</w:t>
            </w:r>
          </w:p>
        </w:tc>
        <w:tc>
          <w:tcPr>
            <w:tcW w:type="dxa" w:w="134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Table 3.8</w:t>
            </w:r>
          </w:p>
        </w:tc>
        <w:tc>
          <w:tcPr>
            <w:tcW w:type="dxa" w:w="595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Risk Register</w:t>
            </w:r>
          </w:p>
        </w:tc>
        <w:tc>
          <w:tcPr>
            <w:tcW w:type="dxa" w:w="134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Table 4.1</w:t>
            </w:r>
          </w:p>
        </w:tc>
        <w:tc>
          <w:tcPr>
            <w:tcW w:type="dxa" w:w="595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Tools / Software Used and Purpose</w:t>
            </w:r>
          </w:p>
        </w:tc>
        <w:tc>
          <w:tcPr>
            <w:tcW w:type="dxa" w:w="134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Table 4.2</w:t>
            </w:r>
          </w:p>
        </w:tc>
        <w:tc>
          <w:tcPr>
            <w:tcW w:type="dxa" w:w="595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Test Plan and Verification</w:t>
            </w:r>
          </w:p>
        </w:tc>
        <w:tc>
          <w:tcPr>
            <w:tcW w:type="dxa" w:w="134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Table 4.3</w:t>
            </w:r>
          </w:p>
        </w:tc>
        <w:tc>
          <w:tcPr>
            <w:tcW w:type="dxa" w:w="595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Specification – Required vs. Achieved Values</w:t>
            </w:r>
          </w:p>
        </w:tc>
        <w:tc>
          <w:tcPr>
            <w:tcW w:type="dxa" w:w="134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Table 4.4</w:t>
            </w:r>
          </w:p>
        </w:tc>
        <w:tc>
          <w:tcPr>
            <w:tcW w:type="dxa" w:w="595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Achievement of Module Objectives</w:t>
            </w:r>
          </w:p>
        </w:tc>
        <w:tc>
          <w:tcPr>
            <w:tcW w:type="dxa" w:w="134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Table 4.5</w:t>
            </w:r>
          </w:p>
        </w:tc>
        <w:tc>
          <w:tcPr>
            <w:tcW w:type="dxa" w:w="595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Milestone / Roles and Budget Table</w:t>
            </w:r>
          </w:p>
        </w:tc>
        <w:tc>
          <w:tcPr>
            <w:tcW w:type="dxa" w:w="134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bl>
    <w:p>
      <w:r>
        <w:br w:type="page"/>
      </w:r>
    </w:p>
    <w:p>
      <w:pPr>
        <w:pStyle w:val="Heading1"/>
        <w:spacing w:after="240" w:before="200" w:line="276" w:lineRule="auto"/>
        <w:jc w:val="center"/>
      </w:pPr>
      <w:r>
        <w:rPr>
          <w:rFonts w:ascii="Times New Roman" w:cs="Times New Roman" w:eastAsia="Times New Roman" w:hAnsi="Times New Roman"/>
          <w:b/>
          <w:bCs/>
          <w:color w:val="000000"/>
          <w:sz w:val="28"/>
          <w:szCs w:val="28"/>
        </w:rPr>
        <w:t xml:space="preserve">LIST OF ABBREVIATIONS / SYMBOLS</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536"/>
        <w:gridCol w:w="5569"/>
        <w:gridCol w:w="1920"/>
      </w:tblGrid>
      <w:tr>
        <w:trPr>
          <w:cantSplit/>
          <w:tblHeader/>
        </w:trPr>
        <w:tc>
          <w:tcPr>
            <w:tcW w:type="dxa" w:w="1536"/>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Symbol</w:t>
            </w:r>
          </w:p>
        </w:tc>
        <w:tc>
          <w:tcPr>
            <w:tcW w:type="dxa" w:w="5569"/>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Description</w:t>
            </w:r>
          </w:p>
        </w:tc>
        <w:tc>
          <w:tcPr>
            <w:tcW w:type="dxa" w:w="192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Unit</w:t>
            </w:r>
          </w:p>
        </w:tc>
      </w:tr>
      <w:tr>
        <w:trPr>
          <w:cantSplit/>
        </w:trPr>
        <w:tc>
          <w:tcPr>
            <w:tcW w:type="dxa" w:w="153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OOP</w:t>
            </w:r>
          </w:p>
        </w:tc>
        <w:tc>
          <w:tcPr>
            <w:tcW w:type="dxa" w:w="5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Object-Oriented Programming</w:t>
            </w:r>
          </w:p>
        </w:tc>
        <w:tc>
          <w:tcPr>
            <w:tcW w:type="dxa" w:w="19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53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JDBC</w:t>
            </w:r>
          </w:p>
        </w:tc>
        <w:tc>
          <w:tcPr>
            <w:tcW w:type="dxa" w:w="5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Java Database Connectivity</w:t>
            </w:r>
          </w:p>
        </w:tc>
        <w:tc>
          <w:tcPr>
            <w:tcW w:type="dxa" w:w="19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53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DAO</w:t>
            </w:r>
          </w:p>
        </w:tc>
        <w:tc>
          <w:tcPr>
            <w:tcW w:type="dxa" w:w="5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Data Access Object</w:t>
            </w:r>
          </w:p>
        </w:tc>
        <w:tc>
          <w:tcPr>
            <w:tcW w:type="dxa" w:w="19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53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GUI</w:t>
            </w:r>
          </w:p>
        </w:tc>
        <w:tc>
          <w:tcPr>
            <w:tcW w:type="dxa" w:w="5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Graphical User Interface</w:t>
            </w:r>
          </w:p>
        </w:tc>
        <w:tc>
          <w:tcPr>
            <w:tcW w:type="dxa" w:w="19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53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RDBMS</w:t>
            </w:r>
          </w:p>
        </w:tc>
        <w:tc>
          <w:tcPr>
            <w:tcW w:type="dxa" w:w="5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Relational Database Management System</w:t>
            </w:r>
          </w:p>
        </w:tc>
        <w:tc>
          <w:tcPr>
            <w:tcW w:type="dxa" w:w="19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53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SQL</w:t>
            </w:r>
          </w:p>
        </w:tc>
        <w:tc>
          <w:tcPr>
            <w:tcW w:type="dxa" w:w="5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Structured Query Language</w:t>
            </w:r>
          </w:p>
        </w:tc>
        <w:tc>
          <w:tcPr>
            <w:tcW w:type="dxa" w:w="19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53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GST</w:t>
            </w:r>
          </w:p>
        </w:tc>
        <w:tc>
          <w:tcPr>
            <w:tcW w:type="dxa" w:w="5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Goods and Services Tax</w:t>
            </w:r>
          </w:p>
        </w:tc>
        <w:tc>
          <w:tcPr>
            <w:tcW w:type="dxa" w:w="19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53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ID</w:t>
            </w:r>
          </w:p>
        </w:tc>
        <w:tc>
          <w:tcPr>
            <w:tcW w:type="dxa" w:w="5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Identifier</w:t>
            </w:r>
          </w:p>
        </w:tc>
        <w:tc>
          <w:tcPr>
            <w:tcW w:type="dxa" w:w="19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153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Qty</w:t>
            </w:r>
          </w:p>
        </w:tc>
        <w:tc>
          <w:tcPr>
            <w:tcW w:type="dxa" w:w="5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Quantity</w:t>
            </w:r>
          </w:p>
        </w:tc>
        <w:tc>
          <w:tcPr>
            <w:tcW w:type="dxa" w:w="19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units</w:t>
            </w:r>
          </w:p>
        </w:tc>
      </w:tr>
      <w:tr>
        <w:trPr>
          <w:cantSplit/>
        </w:trPr>
        <w:tc>
          <w:tcPr>
            <w:tcW w:type="dxa" w:w="153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c>
          <w:tcPr>
            <w:tcW w:type="dxa" w:w="5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Indian Rupee</w:t>
            </w:r>
          </w:p>
        </w:tc>
        <w:tc>
          <w:tcPr>
            <w:tcW w:type="dxa" w:w="19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currency</w:t>
            </w:r>
          </w:p>
        </w:tc>
      </w:tr>
    </w:tbl>
    <w:p>
      <w:r>
        <w:br w:type="page"/>
      </w:r>
    </w:p>
    <w:p>
      <w:pPr>
        <w:pStyle w:val="Heading1"/>
        <w:spacing w:after="240" w:before="200" w:line="276" w:lineRule="auto"/>
        <w:jc w:val="center"/>
      </w:pPr>
      <w:r>
        <w:rPr>
          <w:rFonts w:ascii="Times New Roman" w:cs="Times New Roman" w:eastAsia="Times New Roman" w:hAnsi="Times New Roman"/>
          <w:b/>
          <w:bCs/>
          <w:color w:val="000000"/>
          <w:sz w:val="28"/>
          <w:szCs w:val="28"/>
        </w:rPr>
        <w:t xml:space="preserve">CHAPTER 1</w:t>
      </w:r>
    </w:p>
    <w:p>
      <w:pPr>
        <w:spacing w:after="300" w:line="276" w:lineRule="auto"/>
        <w:jc w:val="center"/>
      </w:pPr>
      <w:r>
        <w:rPr>
          <w:rFonts w:ascii="Times New Roman" w:cs="Times New Roman" w:eastAsia="Times New Roman" w:hAnsi="Times New Roman"/>
          <w:b/>
          <w:bCs/>
          <w:i w:val="false"/>
          <w:iCs w:val="false"/>
          <w:sz w:val="26"/>
          <w:szCs w:val="26"/>
        </w:rPr>
        <w:t xml:space="preserve">INTRODUCTION AND ENGINEERING PROBLEM</w:t>
      </w:r>
    </w:p>
    <w:p>
      <w:pPr>
        <w:pStyle w:val="Heading2"/>
        <w:spacing w:after="160" w:before="240" w:line="276" w:lineRule="auto"/>
      </w:pPr>
      <w:r>
        <w:rPr>
          <w:rFonts w:ascii="Times New Roman" w:cs="Times New Roman" w:eastAsia="Times New Roman" w:hAnsi="Times New Roman"/>
          <w:b/>
          <w:bCs/>
          <w:color w:val="000000"/>
          <w:sz w:val="28"/>
          <w:szCs w:val="28"/>
        </w:rPr>
        <w:t xml:space="preserve">1.1 Background</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Vehicle service centres handle a continuous flow of customers, vehicles and repair jobs, and each completed job typically consumes one or more spare parts and results in a bill payable by the customer. The overall capstone project, "Smart Vehicle Service Management System Using Java," automates five interlinked areas of a workshop's operation: customer and vehicle management, service booking and workshop management, spare parts inventory and billing, reports and service history, and system administration. This report presents the author's individual contribution to that project, Module 3 – Spare Parts Inventory and Billing Management, and is written and evaluated as a standalone technical report covering only that module.</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Module 3 sits between the workshop-management module, which records the parts consumed during a service job, and the reporting module, which later summarises revenue and part usage. It is therefore the component directly responsible for keeping stock records accurate and for producing the financial document — the invoice — that the customer ultimately receives.</w:t>
      </w:r>
    </w:p>
    <w:p>
      <w:pPr>
        <w:pStyle w:val="Heading2"/>
        <w:spacing w:after="160" w:before="240" w:line="276" w:lineRule="auto"/>
      </w:pPr>
      <w:r>
        <w:rPr>
          <w:rFonts w:ascii="Times New Roman" w:cs="Times New Roman" w:eastAsia="Times New Roman" w:hAnsi="Times New Roman"/>
          <w:b/>
          <w:bCs/>
          <w:color w:val="000000"/>
          <w:sz w:val="28"/>
          <w:szCs w:val="28"/>
        </w:rPr>
        <w:t xml:space="preserve">1.2 Need for the Module</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Manual spare-parts registers and hand-written or spreadsheet-based bills create several recurring problems in a busy service centre:</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Stock counts are updated late or incorrectly, so a part that is actually out of stock may still appear available when a mechanic requests it for a job.</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Reordering decisions are made reactively, after a part has already run out, causing delays in completing services.</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Bill calculation performed by hand is prone to arithmetic errors, particularly when several spare parts, tax and discount components must be combined.</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Invoices produced without a structured format may omit required details (part-wise cost, tax break-up, payment status), which weakens the customer's record of the transaction.</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Billing officers, mechanics who consume parts on a job, and administrators who monitor stock value are all directly affected by these limitations. From an engineering standpoint, the problem is significant because it combines a data-consistency concern (keeping stock synchronised with usage) with a computational-accuracy concern (deriving a correct payable amount from several variable inputs) inside a single, time-critical workflow.</w:t>
      </w:r>
    </w:p>
    <w:p>
      <w:pPr>
        <w:pStyle w:val="Heading2"/>
        <w:spacing w:after="160" w:before="240" w:line="276" w:lineRule="auto"/>
      </w:pPr>
      <w:r>
        <w:rPr>
          <w:rFonts w:ascii="Times New Roman" w:cs="Times New Roman" w:eastAsia="Times New Roman" w:hAnsi="Times New Roman"/>
          <w:b/>
          <w:bCs/>
          <w:color w:val="000000"/>
          <w:sz w:val="28"/>
          <w:szCs w:val="28"/>
        </w:rPr>
        <w:t xml:space="preserve">1.3 Problem Statement</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There is a need to design and implement a Java-based subsystem that maintains an accurate, continuously updated record of spare-parts stock, automatically identifies parts approaching a low-stock threshold, and computes a correct, itemised bill and invoice for each completed service — combining service charges, spare-parts cost, applicable tax and discount — while remaining consistent with the stock and service data maintained by the other modules of the system. The subsystem must handle realistic constraints, including concurrent updates to shared stock data, the possibility of invalid or incomplete billing inputs, and the need to keep every generated invoice traceable to the specific service job and customer it belongs to.</w:t>
      </w:r>
    </w:p>
    <w:p>
      <w:pPr>
        <w:pStyle w:val="Heading2"/>
        <w:spacing w:after="160" w:before="240" w:line="276" w:lineRule="auto"/>
      </w:pPr>
      <w:r>
        <w:rPr>
          <w:rFonts w:ascii="Times New Roman" w:cs="Times New Roman" w:eastAsia="Times New Roman" w:hAnsi="Times New Roman"/>
          <w:b/>
          <w:bCs/>
          <w:color w:val="000000"/>
          <w:sz w:val="28"/>
          <w:szCs w:val="28"/>
        </w:rPr>
        <w:t xml:space="preserve">1.4 Module Aim</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To design and develop a reliable Java-based Spare Parts Inventory and Billing Management module that automates spare-parts record-keeping, stock tracking, low-stock monitoring, bill calculation and invoice generation for a vehicle service centre.</w:t>
      </w:r>
    </w:p>
    <w:p>
      <w:pPr>
        <w:pStyle w:val="Heading2"/>
        <w:spacing w:after="160" w:before="240" w:line="276" w:lineRule="auto"/>
      </w:pPr>
      <w:r>
        <w:rPr>
          <w:rFonts w:ascii="Times New Roman" w:cs="Times New Roman" w:eastAsia="Times New Roman" w:hAnsi="Times New Roman"/>
          <w:b/>
          <w:bCs/>
          <w:color w:val="000000"/>
          <w:sz w:val="28"/>
          <w:szCs w:val="28"/>
        </w:rPr>
        <w:t xml:space="preserve">1.5 Module Objectives</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To design a spare-parts data model capable of storing part name, price, supplier and available quantity.</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To develop stock-tracking logic that updates part quantities automatically when parts are purchased (stock-in) or consumed on a service job (stock-out).</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To implement a low-stock monitoring mechanism that flags parts whose quantity falls below a defined reorder threshold.</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To implement bill-calculation logic that combines service charges, spare-parts cost, tax and discount into a final payable amount.</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To implement invoice generation that compiles customer, vehicle, service, parts and payment information into a single structured document.</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To test the module's stock-update, low-stock-alert and bill-calculation functions individually and verify their correctness against defined acceptance criteria.</w:t>
      </w:r>
    </w:p>
    <w:p>
      <w:pPr>
        <w:pStyle w:val="Heading2"/>
        <w:spacing w:after="160" w:before="240" w:line="276" w:lineRule="auto"/>
      </w:pPr>
      <w:r>
        <w:rPr>
          <w:rFonts w:ascii="Times New Roman" w:cs="Times New Roman" w:eastAsia="Times New Roman" w:hAnsi="Times New Roman"/>
          <w:b/>
          <w:bCs/>
          <w:color w:val="000000"/>
          <w:sz w:val="28"/>
          <w:szCs w:val="28"/>
        </w:rPr>
        <w:t xml:space="preserve">1.6 Scope</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Included: spare-parts record management (add, update, delete, search), stock-quantity tracking and automatic adjustment, low-stock identification, service-bill calculation (service charge + parts cost + tax − discount) and invoice generation.</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Excluded (handled by other team members as separate modules): customer and vehicle registration, service booking and mechanic assignment, workshop job-status tracking, consolidated reporting and service-history analytics, and system-wide user authentication and administration. These modules are referenced only where Module 3 depends on data they provide (for example, the service and parts-used details that a completed job supplies to the billing routine).</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Assumptions: each service job is closed and its parts usage finalised before a bill is generated; spare-parts prices and tax rates are maintained as current values in the system at the time of billing; a single workshop location is considered, so multi-branch stock transfer is out of scope.</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Boundary conditions: the module operates on the assumption of a single, consistent database instance; extremely high-frequency concurrent stock updates from multiple simultaneous service centres are outside the scope of this individual module.</w:t>
      </w:r>
    </w:p>
    <w:p>
      <w:pPr>
        <w:pStyle w:val="Heading2"/>
        <w:spacing w:after="160" w:before="240" w:line="276" w:lineRule="auto"/>
      </w:pPr>
      <w:r>
        <w:rPr>
          <w:rFonts w:ascii="Times New Roman" w:cs="Times New Roman" w:eastAsia="Times New Roman" w:hAnsi="Times New Roman"/>
          <w:b/>
          <w:bCs/>
          <w:color w:val="000000"/>
          <w:sz w:val="28"/>
          <w:szCs w:val="28"/>
        </w:rPr>
        <w:t xml:space="preserve">1.7 Expected Engineering Outcome</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The expected outcome is a working Java software component — a set of classes for spare parts, inventory records, bills and invoices, backed by a relational database accessed through JDBC — that can be exercised independently (through unit tests and a simple driver/GUI) and subsequently integrated with the workshop-management and reporting modules of the larger Smart Vehicle Service Management System.</w:t>
      </w:r>
    </w:p>
    <w:p>
      <w:r>
        <w:br w:type="page"/>
      </w:r>
    </w:p>
    <w:p>
      <w:pPr>
        <w:pStyle w:val="Heading1"/>
        <w:spacing w:after="240" w:before="200" w:line="276" w:lineRule="auto"/>
        <w:jc w:val="center"/>
      </w:pPr>
      <w:r>
        <w:rPr>
          <w:rFonts w:ascii="Times New Roman" w:cs="Times New Roman" w:eastAsia="Times New Roman" w:hAnsi="Times New Roman"/>
          <w:b/>
          <w:bCs/>
          <w:color w:val="000000"/>
          <w:sz w:val="28"/>
          <w:szCs w:val="28"/>
        </w:rPr>
        <w:t xml:space="preserve">CHAPTER 2</w:t>
      </w:r>
    </w:p>
    <w:p>
      <w:pPr>
        <w:spacing w:after="300" w:line="276" w:lineRule="auto"/>
        <w:jc w:val="center"/>
      </w:pPr>
      <w:r>
        <w:rPr>
          <w:rFonts w:ascii="Times New Roman" w:cs="Times New Roman" w:eastAsia="Times New Roman" w:hAnsi="Times New Roman"/>
          <w:b/>
          <w:bCs/>
          <w:i w:val="false"/>
          <w:iCs w:val="false"/>
          <w:sz w:val="26"/>
          <w:szCs w:val="26"/>
        </w:rPr>
        <w:t xml:space="preserve">LITERATURE REVIEW AND EXISTING SOLUTIONS</w:t>
      </w:r>
    </w:p>
    <w:p>
      <w:pPr>
        <w:pStyle w:val="Heading2"/>
        <w:spacing w:after="160" w:before="240" w:line="276" w:lineRule="auto"/>
      </w:pPr>
      <w:r>
        <w:rPr>
          <w:rFonts w:ascii="Times New Roman" w:cs="Times New Roman" w:eastAsia="Times New Roman" w:hAnsi="Times New Roman"/>
          <w:b/>
          <w:bCs/>
          <w:color w:val="000000"/>
          <w:sz w:val="28"/>
          <w:szCs w:val="28"/>
        </w:rPr>
        <w:t xml:space="preserve">2.1 Review Method</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Relevant literature and existing systems were identified by searching for recent (2024–2025) work on Java-based vehicle-service and workshop-management systems, with particular attention to studies that addressed inventory tracking and billing/invoicing, since these are the concerns of Module 3. Six representative works, spanning academic studies and applied system descriptions, were selected and reviewed for their objectives, technologies used and key findings.</w:t>
      </w:r>
    </w:p>
    <w:p>
      <w:pPr>
        <w:pStyle w:val="Heading2"/>
        <w:spacing w:after="160" w:before="240" w:line="276" w:lineRule="auto"/>
      </w:pPr>
      <w:r>
        <w:rPr>
          <w:rFonts w:ascii="Times New Roman" w:cs="Times New Roman" w:eastAsia="Times New Roman" w:hAnsi="Times New Roman"/>
          <w:b/>
          <w:bCs/>
          <w:color w:val="000000"/>
          <w:sz w:val="28"/>
          <w:szCs w:val="28"/>
        </w:rPr>
        <w:t xml:space="preserve">2.2 Review of Existing Work</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Kumar et al. (2025) presented a Java, MySQL, JavaFX and JDBC based system aimed at automating vehicle-service booking and maintenance tracking; the study reported reduced manual paperwork and improved service efficiency, but its focus was primarily on booking and maintenance rather than on detailed spare-parts stock control or itemised billing.</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Patel et al. (2024) described a web-based automobile service management system built with Java EE, MySQL and HTML/CSS, aimed at simplifying appointment scheduling and customer management; the reported benefits were a faster booking process and improved customer satisfaction, again with limited emphasis on inventory or billing logic.</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Singh and Sharma (2025) proposed a vehicle workshop management system using object-oriented Java, JDBC and MySQL to digitise workshop operations and service records, reporting improved data accuracy and reduced processing time; the work strengthened the case for an OOP-based data model but did not detail a billing subsystem.</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Reddy et al. (2024) is the most directly relevant prior work for Module 3: an integrated vehicle service and billing system built with Java Swing and a MySQL database, intended to manage servicing, inventory and billing together. It reported automated invoice generation and inventory tracking as key outcomes, which closely mirrors the goals of this module, though the published description does not detail how low-stock conditions are identified or how tax and discount are combined in the bill calculation.</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Gupta et al. (2025) explored a cloud-based vehicle maintenance management system using Java Spring Boot, a cloud database and a REST API, aimed at centralised, real-time monitoring; it reported secure data storage with real-time service updates, illustrating a more distributed architecture than the single-workshop scope of this module.</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Rahman et al. (2025) presented a smart garage management system using Java with an MVC architecture and MySQL, targeting improved repair workflow and mechanic allocation; the study reported enhanced workflow efficiency and reduced service delays, but centred on mechanic allocation rather than stock or billing.</w:t>
      </w:r>
    </w:p>
    <w:p>
      <w:pPr>
        <w:pStyle w:val="Heading2"/>
        <w:spacing w:after="160" w:before="240" w:line="276" w:lineRule="auto"/>
      </w:pPr>
      <w:r>
        <w:rPr>
          <w:rFonts w:ascii="Times New Roman" w:cs="Times New Roman" w:eastAsia="Times New Roman" w:hAnsi="Times New Roman"/>
          <w:b/>
          <w:bCs/>
          <w:color w:val="000000"/>
          <w:sz w:val="28"/>
          <w:szCs w:val="28"/>
        </w:rPr>
        <w:t xml:space="preserve">2.3 Comparative Analysis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100"/>
        <w:gridCol w:w="2400"/>
      </w:tblGrid>
      <w:tr>
        <w:trPr>
          <w:cantSplit/>
          <w:tblHeader/>
        </w:trPr>
        <w:tc>
          <w:tcPr>
            <w:tcW w:type="dxa" w:w="22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Existing Approach</w:t>
            </w:r>
          </w:p>
        </w:tc>
        <w:tc>
          <w:tcPr>
            <w:tcW w:type="dxa" w:w="17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Advantages</w:t>
            </w:r>
          </w:p>
        </w:tc>
        <w:tc>
          <w:tcPr>
            <w:tcW w:type="dxa" w:w="21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Limitations</w:t>
            </w:r>
          </w:p>
        </w:tc>
        <w:tc>
          <w:tcPr>
            <w:tcW w:type="dxa" w:w="24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Relevance to Proposed Work</w:t>
            </w:r>
          </w:p>
        </w:tc>
      </w:tr>
      <w:tr>
        <w:trPr>
          <w:cantSplit/>
        </w:trPr>
        <w:tc>
          <w:tcPr>
            <w:tcW w:type="dxa" w:w="22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Kumar et al. (2025) – Java/JavaFX/JDBC booking &amp; maintenance system</w:t>
            </w:r>
          </w:p>
        </w:tc>
        <w:tc>
          <w:tcPr>
            <w:tcW w:type="dxa" w:w="17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Automated booking; reduced paperwork</w:t>
            </w:r>
          </w:p>
        </w:tc>
        <w:tc>
          <w:tcPr>
            <w:tcW w:type="dxa" w:w="21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Limited inventory / billing detail</w:t>
            </w:r>
          </w:p>
        </w:tc>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Confirms Java/JDBC as a suitable platform</w:t>
            </w:r>
          </w:p>
        </w:tc>
      </w:tr>
      <w:tr>
        <w:trPr>
          <w:cantSplit/>
        </w:trPr>
        <w:tc>
          <w:tcPr>
            <w:tcW w:type="dxa" w:w="22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Patel et al. (2024) – Java EE web booking system</w:t>
            </w:r>
          </w:p>
        </w:tc>
        <w:tc>
          <w:tcPr>
            <w:tcW w:type="dxa" w:w="17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Faster booking; better customer experience</w:t>
            </w:r>
          </w:p>
        </w:tc>
        <w:tc>
          <w:tcPr>
            <w:tcW w:type="dxa" w:w="21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No dedicated billing or stock logic</w:t>
            </w:r>
          </w:p>
        </w:tc>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Shows value of structured customer data, reused in bill/invoice fields</w:t>
            </w:r>
          </w:p>
        </w:tc>
      </w:tr>
      <w:tr>
        <w:trPr>
          <w:cantSplit/>
        </w:trPr>
        <w:tc>
          <w:tcPr>
            <w:tcW w:type="dxa" w:w="22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Singh &amp; Sharma (2025) – OOP workshop management</w:t>
            </w:r>
          </w:p>
        </w:tc>
        <w:tc>
          <w:tcPr>
            <w:tcW w:type="dxa" w:w="17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Improved accuracy; OOP data model</w:t>
            </w:r>
          </w:p>
        </w:tc>
        <w:tc>
          <w:tcPr>
            <w:tcW w:type="dxa" w:w="21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Billing subsystem not detailed</w:t>
            </w:r>
          </w:p>
        </w:tc>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Supports the OOP class design chosen for Module 3</w:t>
            </w:r>
          </w:p>
        </w:tc>
      </w:tr>
      <w:tr>
        <w:trPr>
          <w:cantSplit/>
        </w:trPr>
        <w:tc>
          <w:tcPr>
            <w:tcW w:type="dxa" w:w="22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Reddy et al. (2024) – Integrated service &amp; billing (Swing/MySQL)</w:t>
            </w:r>
          </w:p>
        </w:tc>
        <w:tc>
          <w:tcPr>
            <w:tcW w:type="dxa" w:w="17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Automated invoicing; inventory tracking</w:t>
            </w:r>
          </w:p>
        </w:tc>
        <w:tc>
          <w:tcPr>
            <w:tcW w:type="dxa" w:w="21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Low-stock alerting and tax/discount handling not documented</w:t>
            </w:r>
          </w:p>
        </w:tc>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Closest prior work; direct basis for comparison</w:t>
            </w:r>
          </w:p>
        </w:tc>
      </w:tr>
      <w:tr>
        <w:trPr>
          <w:cantSplit/>
        </w:trPr>
        <w:tc>
          <w:tcPr>
            <w:tcW w:type="dxa" w:w="22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Gupta et al. (2025) – Cloud-based Spring Boot / REST</w:t>
            </w:r>
          </w:p>
        </w:tc>
        <w:tc>
          <w:tcPr>
            <w:tcW w:type="dxa" w:w="17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Real-time, centralised monitoring</w:t>
            </w:r>
          </w:p>
        </w:tc>
        <w:tc>
          <w:tcPr>
            <w:tcW w:type="dxa" w:w="21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Requires cloud infrastructure; heavier for a single workshop</w:t>
            </w:r>
          </w:p>
        </w:tc>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Shows a scalable alternative beyond this module's scope</w:t>
            </w:r>
          </w:p>
        </w:tc>
      </w:tr>
      <w:tr>
        <w:trPr>
          <w:cantSplit/>
        </w:trPr>
        <w:tc>
          <w:tcPr>
            <w:tcW w:type="dxa" w:w="22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Rahman et al. (2025) – MVC garage management</w:t>
            </w:r>
          </w:p>
        </w:tc>
        <w:tc>
          <w:tcPr>
            <w:tcW w:type="dxa" w:w="17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Efficient workflow; mechanic allocation</w:t>
            </w:r>
          </w:p>
        </w:tc>
        <w:tc>
          <w:tcPr>
            <w:tcW w:type="dxa" w:w="21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Focus on scheduling, not stock/billing</w:t>
            </w:r>
          </w:p>
        </w:tc>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Reinforces layered (MVC-style) design used in the architecture</w:t>
            </w:r>
          </w:p>
        </w:tc>
      </w:tr>
    </w:tbl>
    <w:p>
      <w:pPr>
        <w:pStyle w:val="Heading2"/>
        <w:spacing w:after="160" w:before="240" w:line="276" w:lineRule="auto"/>
      </w:pPr>
      <w:r>
        <w:rPr>
          <w:rFonts w:ascii="Times New Roman" w:cs="Times New Roman" w:eastAsia="Times New Roman" w:hAnsi="Times New Roman"/>
          <w:b/>
          <w:bCs/>
          <w:color w:val="000000"/>
          <w:sz w:val="28"/>
          <w:szCs w:val="28"/>
        </w:rPr>
        <w:t xml:space="preserve">2.4 Research / Engineering Gap</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Across the reviewed work, systems either automate booking and workflow (Kumar et al.; Patel et al.; Rahman et al.) or provide a general OOP/database foundation (Singh and Sharma) without a fully documented billing subsystem, or combine servicing with billing at a high level (Reddy et al.; Gupta et al.) without published detail on how low-stock conditions are detected or how tax and discount are combined into a final payable amount. None of the reviewed systems documents an integrated module that simultaneously performs threshold-based low-stock monitoring and multi-component bill calculation (service charge, parts cost, tax, discount) with structured invoice generation.</w:t>
      </w:r>
    </w:p>
    <w:p>
      <w:pPr>
        <w:pStyle w:val="Heading2"/>
        <w:spacing w:after="160" w:before="240" w:line="276" w:lineRule="auto"/>
      </w:pPr>
      <w:r>
        <w:rPr>
          <w:rFonts w:ascii="Times New Roman" w:cs="Times New Roman" w:eastAsia="Times New Roman" w:hAnsi="Times New Roman"/>
          <w:b/>
          <w:bCs/>
          <w:color w:val="000000"/>
          <w:sz w:val="28"/>
          <w:szCs w:val="28"/>
        </w:rPr>
        <w:t xml:space="preserve">2.5 Proposed Contribution</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Module 3 addresses this gap by combining, within a single cohesive Java component, (i) spare-parts record management, (ii) automatic stock adjustment on purchase or consumption, (iii) threshold-based low-stock monitoring, and (iv) bill calculation and invoice generation that explicitly accounts for tax and discount. Building on the OOP and JDBC approach validated by Singh and Sharma (2025) and the integrated service-and-billing concept demonstrated by Reddy et al. (2024), this module documents the stock-threshold and bill-computation logic in detail, which the reviewed literature leaves largely unspecified.</w:t>
      </w:r>
    </w:p>
    <w:p>
      <w:r>
        <w:br w:type="page"/>
      </w:r>
    </w:p>
    <w:p>
      <w:pPr>
        <w:pStyle w:val="Heading1"/>
        <w:spacing w:after="240" w:before="200" w:line="276" w:lineRule="auto"/>
        <w:jc w:val="center"/>
      </w:pPr>
      <w:r>
        <w:rPr>
          <w:rFonts w:ascii="Times New Roman" w:cs="Times New Roman" w:eastAsia="Times New Roman" w:hAnsi="Times New Roman"/>
          <w:b/>
          <w:bCs/>
          <w:color w:val="000000"/>
          <w:sz w:val="28"/>
          <w:szCs w:val="28"/>
        </w:rPr>
        <w:t xml:space="preserve">CHAPTER 3</w:t>
      </w:r>
    </w:p>
    <w:p>
      <w:pPr>
        <w:spacing w:after="40" w:line="276" w:lineRule="auto"/>
        <w:jc w:val="center"/>
      </w:pPr>
      <w:r>
        <w:rPr>
          <w:rFonts w:ascii="Times New Roman" w:cs="Times New Roman" w:eastAsia="Times New Roman" w:hAnsi="Times New Roman"/>
          <w:b/>
          <w:bCs/>
          <w:i w:val="false"/>
          <w:iCs w:val="false"/>
          <w:sz w:val="26"/>
          <w:szCs w:val="26"/>
        </w:rPr>
        <w:t xml:space="preserve">ENGINEERING DESIGN &amp; TRADE-OFFS, SUSTAINABILITY, ETHICS,</w:t>
      </w:r>
    </w:p>
    <w:p>
      <w:pPr>
        <w:spacing w:after="300" w:line="276" w:lineRule="auto"/>
        <w:jc w:val="center"/>
      </w:pPr>
      <w:r>
        <w:rPr>
          <w:rFonts w:ascii="Times New Roman" w:cs="Times New Roman" w:eastAsia="Times New Roman" w:hAnsi="Times New Roman"/>
          <w:b/>
          <w:bCs/>
          <w:i w:val="false"/>
          <w:iCs w:val="false"/>
          <w:sz w:val="26"/>
          <w:szCs w:val="26"/>
        </w:rPr>
        <w:t xml:space="preserve">SAFETY, RISK &amp; SECURITY</w:t>
      </w:r>
    </w:p>
    <w:p>
      <w:pPr>
        <w:pStyle w:val="Heading2"/>
        <w:spacing w:after="160" w:before="240" w:line="276" w:lineRule="auto"/>
      </w:pPr>
      <w:r>
        <w:rPr>
          <w:rFonts w:ascii="Times New Roman" w:cs="Times New Roman" w:eastAsia="Times New Roman" w:hAnsi="Times New Roman"/>
          <w:b/>
          <w:bCs/>
          <w:color w:val="000000"/>
          <w:sz w:val="28"/>
          <w:szCs w:val="28"/>
        </w:rPr>
        <w:t xml:space="preserve">3.1 Requirements</w:t>
      </w:r>
    </w:p>
    <w:p>
      <w:pPr>
        <w:pStyle w:val="Heading3"/>
        <w:spacing w:after="120" w:before="160" w:line="276" w:lineRule="auto"/>
      </w:pPr>
      <w:r>
        <w:rPr>
          <w:rFonts w:ascii="Times New Roman" w:cs="Times New Roman" w:eastAsia="Times New Roman" w:hAnsi="Times New Roman"/>
          <w:b/>
          <w:bCs/>
          <w:i/>
          <w:iCs/>
          <w:color w:val="000000"/>
          <w:sz w:val="24"/>
          <w:szCs w:val="24"/>
        </w:rPr>
        <w:t xml:space="preserve">Stakeholder / User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blHeader/>
        </w:trPr>
        <w:tc>
          <w:tcPr>
            <w:tcW w:type="dxa" w:w="26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Stakeholder</w:t>
            </w:r>
          </w:p>
        </w:tc>
        <w:tc>
          <w:tcPr>
            <w:tcW w:type="dxa" w:w="64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Requirement</w:t>
            </w:r>
          </w:p>
        </w:tc>
      </w:tr>
      <w:tr>
        <w:trPr>
          <w:cantSplit/>
        </w:trPr>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Billing Officer</w:t>
            </w:r>
          </w:p>
        </w:tc>
        <w:tc>
          <w:tcPr>
            <w:tcW w:type="dxa" w:w="6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Needs to generate an accurate, itemised invoice quickly once a service is completed, without manual calculation.</w:t>
            </w:r>
          </w:p>
        </w:tc>
      </w:tr>
      <w:tr>
        <w:trPr>
          <w:cantSplit/>
        </w:trPr>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Mechanic / Service Advisor</w:t>
            </w:r>
          </w:p>
        </w:tc>
        <w:tc>
          <w:tcPr>
            <w:tcW w:type="dxa" w:w="6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Needs to record which spare parts were consumed on a job so that stock is reduced correctly.</w:t>
            </w:r>
          </w:p>
        </w:tc>
      </w:tr>
      <w:tr>
        <w:trPr>
          <w:cantSplit/>
        </w:trPr>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Administrator</w:t>
            </w:r>
          </w:p>
        </w:tc>
        <w:tc>
          <w:tcPr>
            <w:tcW w:type="dxa" w:w="6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Needs visibility into current stock levels and an alert when parts fall below a safe reorder level.</w:t>
            </w:r>
          </w:p>
        </w:tc>
      </w:tr>
      <w:tr>
        <w:trPr>
          <w:cantSplit/>
        </w:trPr>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Customer</w:t>
            </w:r>
          </w:p>
        </w:tc>
        <w:tc>
          <w:tcPr>
            <w:tcW w:type="dxa" w:w="6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Needs a clear, itemised bill showing service charge, parts used, tax and discount, and the final amount payable.</w:t>
            </w:r>
          </w:p>
        </w:tc>
      </w:tr>
    </w:tbl>
    <w:p>
      <w:pPr>
        <w:pStyle w:val="Heading3"/>
        <w:spacing w:after="120" w:before="160" w:line="276" w:lineRule="auto"/>
      </w:pPr>
      <w:r>
        <w:rPr>
          <w:rFonts w:ascii="Times New Roman" w:cs="Times New Roman" w:eastAsia="Times New Roman" w:hAnsi="Times New Roman"/>
          <w:b/>
          <w:bCs/>
          <w:i/>
          <w:iCs/>
          <w:color w:val="000000"/>
          <w:sz w:val="24"/>
          <w:szCs w:val="24"/>
        </w:rPr>
        <w:t xml:space="preserve">Functional &amp; Non-Functional Requirements</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985"/>
        <w:gridCol w:w="4242"/>
        <w:gridCol w:w="2798"/>
      </w:tblGrid>
      <w:tr>
        <w:trPr>
          <w:cantSplit/>
          <w:tblHeader/>
        </w:trPr>
        <w:tc>
          <w:tcPr>
            <w:tcW w:type="dxa" w:w="1985"/>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Requirement Type</w:t>
            </w:r>
          </w:p>
        </w:tc>
        <w:tc>
          <w:tcPr>
            <w:tcW w:type="dxa" w:w="4242"/>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Description</w:t>
            </w:r>
          </w:p>
        </w:tc>
        <w:tc>
          <w:tcPr>
            <w:tcW w:type="dxa" w:w="2798"/>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Measurable Target</w:t>
            </w:r>
          </w:p>
        </w:tc>
      </w:tr>
      <w:tr>
        <w:trPr>
          <w:cantSplit/>
        </w:trPr>
        <w:tc>
          <w:tcPr>
            <w:tcW w:type="dxa" w:w="198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Functional (F1)</w:t>
            </w:r>
          </w:p>
        </w:tc>
        <w:tc>
          <w:tcPr>
            <w:tcW w:type="dxa" w:w="4242"/>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The system shall allow spare-part records (name, price, supplier, quantity) to be added, updated, searched and deleted.</w:t>
            </w:r>
          </w:p>
        </w:tc>
        <w:tc>
          <w:tcPr>
            <w:tcW w:type="dxa" w:w="279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All CRUD operations complete without data loss</w:t>
            </w:r>
          </w:p>
        </w:tc>
      </w:tr>
      <w:tr>
        <w:trPr>
          <w:cantSplit/>
        </w:trPr>
        <w:tc>
          <w:tcPr>
            <w:tcW w:type="dxa" w:w="198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Functional (F2)</w:t>
            </w:r>
          </w:p>
        </w:tc>
        <w:tc>
          <w:tcPr>
            <w:tcW w:type="dxa" w:w="4242"/>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The system shall automatically decrease stock quantity when a part is used on a service job and increase it when new stock is purchased.</w:t>
            </w:r>
          </w:p>
        </w:tc>
        <w:tc>
          <w:tcPr>
            <w:tcW w:type="dxa" w:w="279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Stock quantity always matches the sum of recorded transactions</w:t>
            </w:r>
          </w:p>
        </w:tc>
      </w:tr>
      <w:tr>
        <w:trPr>
          <w:cantSplit/>
        </w:trPr>
        <w:tc>
          <w:tcPr>
            <w:tcW w:type="dxa" w:w="198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Functional (F3)</w:t>
            </w:r>
          </w:p>
        </w:tc>
        <w:tc>
          <w:tcPr>
            <w:tcW w:type="dxa" w:w="4242"/>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The system shall flag any spare part whose quantity falls at or below a configurable reorder threshold.</w:t>
            </w:r>
          </w:p>
        </w:tc>
        <w:tc>
          <w:tcPr>
            <w:tcW w:type="dxa" w:w="279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Alert raised within the same operation that causes the breach</w:t>
            </w:r>
          </w:p>
        </w:tc>
      </w:tr>
      <w:tr>
        <w:trPr>
          <w:cantSplit/>
        </w:trPr>
        <w:tc>
          <w:tcPr>
            <w:tcW w:type="dxa" w:w="198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Functional (F4)</w:t>
            </w:r>
          </w:p>
        </w:tc>
        <w:tc>
          <w:tcPr>
            <w:tcW w:type="dxa" w:w="4242"/>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The system shall calculate the total payable amount as service charge + spare-parts cost + tax − discount.</w:t>
            </w:r>
          </w:p>
        </w:tc>
        <w:tc>
          <w:tcPr>
            <w:tcW w:type="dxa" w:w="279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Calculated total matches manual reference calculation exactly</w:t>
            </w:r>
          </w:p>
        </w:tc>
      </w:tr>
      <w:tr>
        <w:trPr>
          <w:cantSplit/>
        </w:trPr>
        <w:tc>
          <w:tcPr>
            <w:tcW w:type="dxa" w:w="198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Functional (F5)</w:t>
            </w:r>
          </w:p>
        </w:tc>
        <w:tc>
          <w:tcPr>
            <w:tcW w:type="dxa" w:w="4242"/>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The system shall generate an invoice containing customer, vehicle, service, parts and payment details.</w:t>
            </w:r>
          </w:p>
        </w:tc>
        <w:tc>
          <w:tcPr>
            <w:tcW w:type="dxa" w:w="279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Every generated invoice contains all required fields</w:t>
            </w:r>
          </w:p>
        </w:tc>
      </w:tr>
      <w:tr>
        <w:trPr>
          <w:cantSplit/>
        </w:trPr>
        <w:tc>
          <w:tcPr>
            <w:tcW w:type="dxa" w:w="198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Non-Functional (NF1)</w:t>
            </w:r>
          </w:p>
        </w:tc>
        <w:tc>
          <w:tcPr>
            <w:tcW w:type="dxa" w:w="4242"/>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Bill calculation and invoice generation shall complete promptly for a typical single-service transaction.</w:t>
            </w:r>
          </w:p>
        </w:tc>
        <w:tc>
          <w:tcPr>
            <w:tcW w:type="dxa" w:w="279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Response within 2 seconds on a standard workstation</w:t>
            </w:r>
          </w:p>
        </w:tc>
      </w:tr>
      <w:tr>
        <w:trPr>
          <w:cantSplit/>
        </w:trPr>
        <w:tc>
          <w:tcPr>
            <w:tcW w:type="dxa" w:w="198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Non-Functional (NF2)</w:t>
            </w:r>
          </w:p>
        </w:tc>
        <w:tc>
          <w:tcPr>
            <w:tcW w:type="dxa" w:w="4242"/>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Stock and billing data shall remain consistent under normal single-user operation.</w:t>
            </w:r>
          </w:p>
        </w:tc>
        <w:tc>
          <w:tcPr>
            <w:tcW w:type="dxa" w:w="279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No discrepancy after 100 consecutive test transactions</w:t>
            </w:r>
          </w:p>
        </w:tc>
      </w:tr>
      <w:tr>
        <w:trPr>
          <w:cantSplit/>
        </w:trPr>
        <w:tc>
          <w:tcPr>
            <w:tcW w:type="dxa" w:w="198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Non-Functional (NF3)</w:t>
            </w:r>
          </w:p>
        </w:tc>
        <w:tc>
          <w:tcPr>
            <w:tcW w:type="dxa" w:w="4242"/>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The module's code shall be organised for maintainability and reuse by other modules.</w:t>
            </w:r>
          </w:p>
        </w:tc>
        <w:tc>
          <w:tcPr>
            <w:tcW w:type="dxa" w:w="279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Clear separation of model, DAO and calculation logic</w:t>
            </w:r>
          </w:p>
        </w:tc>
      </w:tr>
    </w:tbl>
    <w:p>
      <w:pPr>
        <w:pStyle w:val="Heading2"/>
        <w:spacing w:after="160" w:before="240" w:line="276" w:lineRule="auto"/>
      </w:pPr>
      <w:r>
        <w:rPr>
          <w:rFonts w:ascii="Times New Roman" w:cs="Times New Roman" w:eastAsia="Times New Roman" w:hAnsi="Times New Roman"/>
          <w:b/>
          <w:bCs/>
          <w:color w:val="000000"/>
          <w:sz w:val="28"/>
          <w:szCs w:val="28"/>
        </w:rPr>
        <w:t xml:space="preserve">3.2 Constraints &amp; Applicable Standards</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370"/>
        <w:gridCol w:w="3008"/>
        <w:gridCol w:w="3646"/>
      </w:tblGrid>
      <w:tr>
        <w:trPr>
          <w:cantSplit/>
          <w:tblHeader/>
        </w:trPr>
        <w:tc>
          <w:tcPr>
            <w:tcW w:type="dxa" w:w="237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Standard / Code</w:t>
            </w:r>
          </w:p>
        </w:tc>
        <w:tc>
          <w:tcPr>
            <w:tcW w:type="dxa" w:w="3008"/>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Requirement</w:t>
            </w:r>
          </w:p>
        </w:tc>
        <w:tc>
          <w:tcPr>
            <w:tcW w:type="dxa" w:w="3646"/>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How Applied in This Project</w:t>
            </w:r>
          </w:p>
        </w:tc>
      </w:tr>
      <w:tr>
        <w:trPr>
          <w:cantSplit/>
        </w:trPr>
        <w:tc>
          <w:tcPr>
            <w:tcW w:type="dxa" w:w="237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Oracle Java Code Conventions</w:t>
            </w:r>
          </w:p>
        </w:tc>
        <w:tc>
          <w:tcPr>
            <w:tcW w:type="dxa" w:w="300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Consistent naming, indentation and documentation of Java classes and methods.</w:t>
            </w:r>
          </w:p>
        </w:tc>
        <w:tc>
          <w:tcPr>
            <w:tcW w:type="dxa" w:w="364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Applied to all classes (SparePart, Inventory, Bill, Invoice) and their methods for readability and maintainability.</w:t>
            </w:r>
          </w:p>
        </w:tc>
      </w:tr>
      <w:tr>
        <w:trPr>
          <w:cantSplit/>
        </w:trPr>
        <w:tc>
          <w:tcPr>
            <w:tcW w:type="dxa" w:w="237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IEEE Std 830 (Software Requirements Specification practice)</w:t>
            </w:r>
          </w:p>
        </w:tc>
        <w:tc>
          <w:tcPr>
            <w:tcW w:type="dxa" w:w="300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Requirements should be unambiguous, verifiable and traceable.</w:t>
            </w:r>
          </w:p>
        </w:tc>
        <w:tc>
          <w:tcPr>
            <w:tcW w:type="dxa" w:w="364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Functional and non-functional requirements in Table 3.2 are written as measurable, testable statements.</w:t>
            </w:r>
          </w:p>
        </w:tc>
      </w:tr>
      <w:tr>
        <w:trPr>
          <w:cantSplit/>
        </w:trPr>
        <w:tc>
          <w:tcPr>
            <w:tcW w:type="dxa" w:w="237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Indian GST framework (taxation constraint)</w:t>
            </w:r>
          </w:p>
        </w:tc>
        <w:tc>
          <w:tcPr>
            <w:tcW w:type="dxa" w:w="300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Bill calculations involving tax must reflect applicable GST slabs for goods/services.</w:t>
            </w:r>
          </w:p>
        </w:tc>
        <w:tc>
          <w:tcPr>
            <w:tcW w:type="dxa" w:w="364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The tax component of the bill-calculation formula is parameterised so the applicable GST percentage can be configured rather than hard-coded.</w:t>
            </w:r>
          </w:p>
        </w:tc>
      </w:tr>
    </w:tbl>
    <w:p>
      <w:pPr>
        <w:pStyle w:val="Heading2"/>
        <w:spacing w:after="160" w:before="240" w:line="276" w:lineRule="auto"/>
      </w:pPr>
      <w:r>
        <w:rPr>
          <w:rFonts w:ascii="Times New Roman" w:cs="Times New Roman" w:eastAsia="Times New Roman" w:hAnsi="Times New Roman"/>
          <w:b/>
          <w:bCs/>
          <w:color w:val="000000"/>
          <w:sz w:val="28"/>
          <w:szCs w:val="28"/>
        </w:rPr>
        <w:t xml:space="preserve">3.3 Design Specifications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600"/>
        <w:gridCol w:w="2100"/>
      </w:tblGrid>
      <w:tr>
        <w:trPr>
          <w:cantSplit/>
          <w:tblHeader/>
        </w:trPr>
        <w:tc>
          <w:tcPr>
            <w:tcW w:type="dxa" w:w="26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Parameter</w:t>
            </w:r>
          </w:p>
        </w:tc>
        <w:tc>
          <w:tcPr>
            <w:tcW w:type="dxa" w:w="26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Target / Requirement</w:t>
            </w:r>
          </w:p>
        </w:tc>
        <w:tc>
          <w:tcPr>
            <w:tcW w:type="dxa" w:w="16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Unit</w:t>
            </w:r>
          </w:p>
        </w:tc>
        <w:tc>
          <w:tcPr>
            <w:tcW w:type="dxa" w:w="21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Priority</w:t>
            </w:r>
          </w:p>
        </w:tc>
      </w:tr>
      <w:tr>
        <w:trPr>
          <w:cantSplit/>
        </w:trPr>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Spare-part records supported</w:t>
            </w:r>
          </w:p>
        </w:tc>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 1,000 active part records</w:t>
            </w:r>
          </w:p>
        </w:tc>
        <w:tc>
          <w:tcPr>
            <w:tcW w:type="dxa" w:w="1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records</w:t>
            </w:r>
          </w:p>
        </w:tc>
        <w:tc>
          <w:tcPr>
            <w:tcW w:type="dxa" w:w="21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High</w:t>
            </w:r>
          </w:p>
        </w:tc>
      </w:tr>
      <w:tr>
        <w:trPr>
          <w:cantSplit/>
        </w:trPr>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Stock update latency</w:t>
            </w:r>
          </w:p>
        </w:tc>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 1</w:t>
            </w:r>
          </w:p>
        </w:tc>
        <w:tc>
          <w:tcPr>
            <w:tcW w:type="dxa" w:w="1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second</w:t>
            </w:r>
          </w:p>
        </w:tc>
        <w:tc>
          <w:tcPr>
            <w:tcW w:type="dxa" w:w="21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High</w:t>
            </w:r>
          </w:p>
        </w:tc>
      </w:tr>
      <w:tr>
        <w:trPr>
          <w:cantSplit/>
        </w:trPr>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Low-stock threshold</w:t>
            </w:r>
          </w:p>
        </w:tc>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Configurable, default 5</w:t>
            </w:r>
          </w:p>
        </w:tc>
        <w:tc>
          <w:tcPr>
            <w:tcW w:type="dxa" w:w="1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units</w:t>
            </w:r>
          </w:p>
        </w:tc>
        <w:tc>
          <w:tcPr>
            <w:tcW w:type="dxa" w:w="21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Medium</w:t>
            </w:r>
          </w:p>
        </w:tc>
      </w:tr>
      <w:tr>
        <w:trPr>
          <w:cantSplit/>
        </w:trPr>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Bill calculation accuracy</w:t>
            </w:r>
          </w:p>
        </w:tc>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Exact match to manual reference</w:t>
            </w:r>
          </w:p>
        </w:tc>
        <w:tc>
          <w:tcPr>
            <w:tcW w:type="dxa" w:w="1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t>
            </w:r>
          </w:p>
        </w:tc>
        <w:tc>
          <w:tcPr>
            <w:tcW w:type="dxa" w:w="21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High</w:t>
            </w:r>
          </w:p>
        </w:tc>
      </w:tr>
      <w:tr>
        <w:trPr>
          <w:cantSplit/>
        </w:trPr>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Invoice generation time</w:t>
            </w:r>
          </w:p>
        </w:tc>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 2</w:t>
            </w:r>
          </w:p>
        </w:tc>
        <w:tc>
          <w:tcPr>
            <w:tcW w:type="dxa" w:w="1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seconds</w:t>
            </w:r>
          </w:p>
        </w:tc>
        <w:tc>
          <w:tcPr>
            <w:tcW w:type="dxa" w:w="21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Medium</w:t>
            </w:r>
          </w:p>
        </w:tc>
      </w:tr>
    </w:tbl>
    <w:p>
      <w:pPr>
        <w:pStyle w:val="Heading2"/>
        <w:spacing w:after="160" w:before="240" w:line="276" w:lineRule="auto"/>
      </w:pPr>
      <w:r>
        <w:rPr>
          <w:rFonts w:ascii="Times New Roman" w:cs="Times New Roman" w:eastAsia="Times New Roman" w:hAnsi="Times New Roman"/>
          <w:b/>
          <w:bCs/>
          <w:color w:val="000000"/>
          <w:sz w:val="28"/>
          <w:szCs w:val="28"/>
        </w:rPr>
        <w:t xml:space="preserve">3.4 Alternative Solutions &amp; Evaluation</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Alternative 1: Flat-file storage — spare-parts and billing records are stored and updated in plain text or CSV files read and written directly by the Java program.</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Alternative 2: Relational database via JDBC — spare-parts, stock and billing records are stored in a MySQL database and accessed through Java using JDBC and a DAO layer, as used by the wider system architecture.</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Alternative 3: Spreadsheet-assisted tracking — stock and billing figures are maintained in an external spreadsheet that the Java module reads from and writes to for each transaction.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1900"/>
        <w:gridCol w:w="1700"/>
      </w:tblGrid>
      <w:tr>
        <w:trPr>
          <w:cantSplit/>
          <w:tblHeader/>
        </w:trPr>
        <w:tc>
          <w:tcPr>
            <w:tcW w:type="dxa" w:w="24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Criterion</w:t>
            </w:r>
          </w:p>
        </w:tc>
        <w:tc>
          <w:tcPr>
            <w:tcW w:type="dxa" w:w="12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Weight</w:t>
            </w:r>
          </w:p>
        </w:tc>
        <w:tc>
          <w:tcPr>
            <w:tcW w:type="dxa" w:w="18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Alternative 1 (Flat File)</w:t>
            </w:r>
          </w:p>
        </w:tc>
        <w:tc>
          <w:tcPr>
            <w:tcW w:type="dxa" w:w="19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Alternative 2 (JDBC + RDBMS)</w:t>
            </w:r>
          </w:p>
        </w:tc>
        <w:tc>
          <w:tcPr>
            <w:tcW w:type="dxa" w:w="17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Alternative 3 (Spreadsheet)</w:t>
            </w:r>
          </w:p>
        </w:tc>
      </w:tr>
      <w:tr>
        <w:trPr>
          <w:cantSplit/>
        </w:trPr>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Performance</w:t>
            </w:r>
          </w:p>
        </w:tc>
        <w:tc>
          <w:tcPr>
            <w:tcW w:type="dxa" w:w="12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30%</w:t>
            </w:r>
          </w:p>
        </w:tc>
        <w:tc>
          <w:tcPr>
            <w:tcW w:type="dxa" w:w="1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Medium</w:t>
            </w:r>
          </w:p>
        </w:tc>
        <w:tc>
          <w:tcPr>
            <w:tcW w:type="dxa" w:w="19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High</w:t>
            </w:r>
          </w:p>
        </w:tc>
        <w:tc>
          <w:tcPr>
            <w:tcW w:type="dxa" w:w="17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w:t>
            </w:r>
          </w:p>
        </w:tc>
      </w:tr>
      <w:tr>
        <w:trPr>
          <w:cantSplit/>
        </w:trPr>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Cost</w:t>
            </w:r>
          </w:p>
        </w:tc>
        <w:tc>
          <w:tcPr>
            <w:tcW w:type="dxa" w:w="12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15%</w:t>
            </w:r>
          </w:p>
        </w:tc>
        <w:tc>
          <w:tcPr>
            <w:tcW w:type="dxa" w:w="1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w:t>
            </w:r>
          </w:p>
        </w:tc>
        <w:tc>
          <w:tcPr>
            <w:tcW w:type="dxa" w:w="19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 (open-source RDBMS)</w:t>
            </w:r>
          </w:p>
        </w:tc>
        <w:tc>
          <w:tcPr>
            <w:tcW w:type="dxa" w:w="17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w:t>
            </w:r>
          </w:p>
        </w:tc>
      </w:tr>
      <w:tr>
        <w:trPr>
          <w:cantSplit/>
        </w:trPr>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Safety (data integrity)</w:t>
            </w:r>
          </w:p>
        </w:tc>
        <w:tc>
          <w:tcPr>
            <w:tcW w:type="dxa" w:w="12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20%</w:t>
            </w:r>
          </w:p>
        </w:tc>
        <w:tc>
          <w:tcPr>
            <w:tcW w:type="dxa" w:w="1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w:t>
            </w:r>
          </w:p>
        </w:tc>
        <w:tc>
          <w:tcPr>
            <w:tcW w:type="dxa" w:w="19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High</w:t>
            </w:r>
          </w:p>
        </w:tc>
        <w:tc>
          <w:tcPr>
            <w:tcW w:type="dxa" w:w="17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Medium</w:t>
            </w:r>
          </w:p>
        </w:tc>
      </w:tr>
      <w:tr>
        <w:trPr>
          <w:cantSplit/>
        </w:trPr>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Sustainability (maintainability)</w:t>
            </w:r>
          </w:p>
        </w:tc>
        <w:tc>
          <w:tcPr>
            <w:tcW w:type="dxa" w:w="12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15%</w:t>
            </w:r>
          </w:p>
        </w:tc>
        <w:tc>
          <w:tcPr>
            <w:tcW w:type="dxa" w:w="1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w:t>
            </w:r>
          </w:p>
        </w:tc>
        <w:tc>
          <w:tcPr>
            <w:tcW w:type="dxa" w:w="19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High</w:t>
            </w:r>
          </w:p>
        </w:tc>
        <w:tc>
          <w:tcPr>
            <w:tcW w:type="dxa" w:w="17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Medium</w:t>
            </w:r>
          </w:p>
        </w:tc>
      </w:tr>
      <w:tr>
        <w:trPr>
          <w:cantSplit/>
        </w:trPr>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Reliability</w:t>
            </w:r>
          </w:p>
        </w:tc>
        <w:tc>
          <w:tcPr>
            <w:tcW w:type="dxa" w:w="12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20%</w:t>
            </w:r>
          </w:p>
        </w:tc>
        <w:tc>
          <w:tcPr>
            <w:tcW w:type="dxa" w:w="1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Medium</w:t>
            </w:r>
          </w:p>
        </w:tc>
        <w:tc>
          <w:tcPr>
            <w:tcW w:type="dxa" w:w="19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High</w:t>
            </w:r>
          </w:p>
        </w:tc>
        <w:tc>
          <w:tcPr>
            <w:tcW w:type="dxa" w:w="17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Medium</w:t>
            </w:r>
          </w:p>
        </w:tc>
      </w:tr>
    </w:tbl>
    <w:p>
      <w:pPr>
        <w:pStyle w:val="Heading2"/>
        <w:spacing w:after="160" w:before="240" w:line="276" w:lineRule="auto"/>
      </w:pPr>
      <w:r>
        <w:rPr>
          <w:rFonts w:ascii="Times New Roman" w:cs="Times New Roman" w:eastAsia="Times New Roman" w:hAnsi="Times New Roman"/>
          <w:b/>
          <w:bCs/>
          <w:color w:val="000000"/>
          <w:sz w:val="28"/>
          <w:szCs w:val="28"/>
        </w:rPr>
        <w:t xml:space="preserve">3.5 Selected Design &amp; Detailed Design</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Alternative 2 — a relational database accessed through JDBC via a DAO layer — was selected. Table 3.5 shows it outperforms the flat-file and spreadsheet alternatives on the criteria weighted highest for this module (performance and safety), since a relational database enforces data types and supports transactional updates, which directly reduces the risk of the stock-mismatch and calculation errors identified in Section 1.2. This is also the alternative consistent with the layered architecture already adopted for the wider five-module system, which avoids introducing an inconsistent data-access approach for just one module.</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The module is implemented around four core classes: SparePart (partId, name, price, supplier, quantity), Inventory (a collection of SparePart records with methods to add stock, deduct stock on usage, and check the low-stock threshold), Bill (serviceCharge, partsCost, taxRate, discount, and a computeTotal() method), and Invoice (customer, vehicle, service and payment details compiled from a finalised Bill). Each class corresponds to a table in the database, accessed through an InventoryDAO and a BillingDAO, consistent with the Data Access Layer shown in Figure 3.1.</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The core billing calculation implemented in the Bill class is:</w:t>
      </w:r>
    </w:p>
    <w:p>
      <w:pPr>
        <w:spacing w:after="200" w:line="276" w:lineRule="auto"/>
        <w:jc w:val="center"/>
      </w:pPr>
      <w:r>
        <w:rPr>
          <w:rFonts w:ascii="Times New Roman" w:cs="Times New Roman" w:eastAsia="Times New Roman" w:hAnsi="Times New Roman"/>
          <w:b w:val="false"/>
          <w:bCs w:val="false"/>
          <w:i/>
          <w:iCs/>
          <w:sz w:val="24"/>
          <w:szCs w:val="24"/>
        </w:rPr>
        <w:t xml:space="preserve">Total Payable = Service Charge + Spare-Parts Cost + (Tax % × Subtotal) − Discount</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where Subtotal = Service Charge + Spare-Parts Cost. This keeps the tax computation proportional to the combined service-and-parts subtotal, which was judged the clearest and most auditable approach for a customer-facing invoice.</w:t>
      </w:r>
    </w:p>
    <w:p>
      <w:pPr>
        <w:spacing w:after="100" w:before="200"/>
        <w:jc w:val="center"/>
      </w:pPr>
      <w:r>
        <w:drawing>
          <wp:inline distT="0" distB="0" distL="0" distR="0">
            <wp:extent cx="4762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257550"/>
                    </a:xfrm>
                    <a:prstGeom prst="rect">
                      <a:avLst/>
                    </a:prstGeom>
                  </pic:spPr>
                </pic:pic>
              </a:graphicData>
            </a:graphic>
          </wp:inline>
        </w:drawing>
      </w:r>
    </w:p>
    <w:p>
      <w:pPr>
        <w:spacing w:after="200" w:line="276" w:lineRule="auto"/>
        <w:jc w:val="center"/>
      </w:pPr>
      <w:r>
        <w:rPr>
          <w:rFonts w:ascii="Times New Roman" w:cs="Times New Roman" w:eastAsia="Times New Roman" w:hAnsi="Times New Roman"/>
          <w:b w:val="false"/>
          <w:bCs w:val="false"/>
          <w:i/>
          <w:iCs/>
          <w:sz w:val="20"/>
          <w:szCs w:val="20"/>
        </w:rPr>
        <w:t xml:space="preserve">Figure 3.1: System architecture of the Smart Vehicle Service Management System. Module 3 corresponds primarily to the "Inventory / Parts Management" and "Billing &amp; Invoice Management" blocks in the Application Layer, their InventoryDAO and BillingDAO counterparts in the Data Access Layer, and the associated Inventory, Invoices and Payments tables in the Database Layer.</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Systems approach: the Inventory subsystem exposes stock-check and stock-deduction methods that the Service Booking module calls when parts are used on a job; the Billing subsystem then reads the finalised service and parts-usage record to compute the bill, and passes the resulting invoice reference to the Reports module for later summarisation. This keeps Module 3 loosely coupled — it depends on data supplied by Module 2 (service/parts usage) and supplies data consumed by Module 4 (reports) — while owning its own stock and billing logic outright.</w:t>
      </w:r>
    </w:p>
    <w:p>
      <w:pPr>
        <w:pStyle w:val="Heading2"/>
        <w:spacing w:after="160" w:before="240" w:line="276" w:lineRule="auto"/>
      </w:pPr>
      <w:r>
        <w:rPr>
          <w:rFonts w:ascii="Times New Roman" w:cs="Times New Roman" w:eastAsia="Times New Roman" w:hAnsi="Times New Roman"/>
          <w:b/>
          <w:bCs/>
          <w:color w:val="000000"/>
          <w:sz w:val="28"/>
          <w:szCs w:val="28"/>
        </w:rPr>
        <w:t xml:space="preserve">3.6 Trade-off Analysis</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624"/>
        <w:gridCol w:w="1805"/>
        <w:gridCol w:w="1985"/>
      </w:tblGrid>
      <w:tr>
        <w:trPr>
          <w:cantSplit/>
          <w:tblHeader/>
        </w:trPr>
        <w:tc>
          <w:tcPr>
            <w:tcW w:type="dxa" w:w="1805"/>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Design Decision</w:t>
            </w:r>
          </w:p>
        </w:tc>
        <w:tc>
          <w:tcPr>
            <w:tcW w:type="dxa" w:w="1805"/>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Alternative Considered</w:t>
            </w:r>
          </w:p>
        </w:tc>
        <w:tc>
          <w:tcPr>
            <w:tcW w:type="dxa" w:w="1624"/>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Benefit</w:t>
            </w:r>
          </w:p>
        </w:tc>
        <w:tc>
          <w:tcPr>
            <w:tcW w:type="dxa" w:w="1805"/>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Disadvantage</w:t>
            </w:r>
          </w:p>
        </w:tc>
        <w:tc>
          <w:tcPr>
            <w:tcW w:type="dxa" w:w="1985"/>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Final Decision &amp; Justification</w:t>
            </w:r>
          </w:p>
        </w:tc>
      </w:tr>
      <w:tr>
        <w:trPr>
          <w:cantSplit/>
        </w:trPr>
        <w:tc>
          <w:tcPr>
            <w:tcW w:type="dxa" w:w="180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Data storage mechanism</w:t>
            </w:r>
          </w:p>
        </w:tc>
        <w:tc>
          <w:tcPr>
            <w:tcW w:type="dxa" w:w="180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Flat file / CSV</w:t>
            </w:r>
          </w:p>
        </w:tc>
        <w:tc>
          <w:tcPr>
            <w:tcW w:type="dxa" w:w="162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Simple to implement, no database setup</w:t>
            </w:r>
          </w:p>
        </w:tc>
        <w:tc>
          <w:tcPr>
            <w:tcW w:type="dxa" w:w="180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Poor concurrency and integrity guarantees</w:t>
            </w:r>
          </w:p>
        </w:tc>
        <w:tc>
          <w:tcPr>
            <w:tcW w:type="dxa" w:w="198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RDBMS via JDBC selected — integrity outweighs simplicity for financial data</w:t>
            </w:r>
          </w:p>
        </w:tc>
      </w:tr>
      <w:tr>
        <w:trPr>
          <w:cantSplit/>
        </w:trPr>
        <w:tc>
          <w:tcPr>
            <w:tcW w:type="dxa" w:w="180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Tax calculation basis</w:t>
            </w:r>
          </w:p>
        </w:tc>
        <w:tc>
          <w:tcPr>
            <w:tcW w:type="dxa" w:w="180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Tax on parts cost only</w:t>
            </w:r>
          </w:p>
        </w:tc>
        <w:tc>
          <w:tcPr>
            <w:tcW w:type="dxa" w:w="162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Simpler formula</w:t>
            </w:r>
          </w:p>
        </w:tc>
        <w:tc>
          <w:tcPr>
            <w:tcW w:type="dxa" w:w="180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Understates tax if service charge is taxable</w:t>
            </w:r>
          </w:p>
        </w:tc>
        <w:tc>
          <w:tcPr>
            <w:tcW w:type="dxa" w:w="198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Tax applied to combined subtotal — matches typical GST treatment of composite service+parts billing</w:t>
            </w:r>
          </w:p>
        </w:tc>
      </w:tr>
      <w:tr>
        <w:trPr>
          <w:cantSplit/>
        </w:trPr>
        <w:tc>
          <w:tcPr>
            <w:tcW w:type="dxa" w:w="180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Low-stock threshold</w:t>
            </w:r>
          </w:p>
        </w:tc>
        <w:tc>
          <w:tcPr>
            <w:tcW w:type="dxa" w:w="180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Fixed threshold for all parts</w:t>
            </w:r>
          </w:p>
        </w:tc>
        <w:tc>
          <w:tcPr>
            <w:tcW w:type="dxa" w:w="162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Easier to implement</w:t>
            </w:r>
          </w:p>
        </w:tc>
        <w:tc>
          <w:tcPr>
            <w:tcW w:type="dxa" w:w="180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Ignores that fast-moving parts need a higher buffer</w:t>
            </w:r>
          </w:p>
        </w:tc>
        <w:tc>
          <w:tcPr>
            <w:tcW w:type="dxa" w:w="198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Configurable per-part threshold with a sensible default — balances simplicity and accuracy</w:t>
            </w:r>
          </w:p>
        </w:tc>
      </w:tr>
    </w:tbl>
    <w:p>
      <w:pPr>
        <w:pStyle w:val="Heading2"/>
        <w:spacing w:after="160" w:before="240" w:line="276" w:lineRule="auto"/>
      </w:pPr>
      <w:r>
        <w:rPr>
          <w:rFonts w:ascii="Times New Roman" w:cs="Times New Roman" w:eastAsia="Times New Roman" w:hAnsi="Times New Roman"/>
          <w:b/>
          <w:bCs/>
          <w:color w:val="000000"/>
          <w:sz w:val="28"/>
          <w:szCs w:val="28"/>
        </w:rPr>
        <w:t xml:space="preserve">3.7 Sustainability, Ethics, Safety, Risk &amp; Security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700"/>
        <w:gridCol w:w="2300"/>
      </w:tblGrid>
      <w:tr>
        <w:trPr>
          <w:cantSplit/>
          <w:tblHeader/>
        </w:trPr>
        <w:tc>
          <w:tcPr>
            <w:tcW w:type="dxa" w:w="15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Domain</w:t>
            </w:r>
          </w:p>
        </w:tc>
        <w:tc>
          <w:tcPr>
            <w:tcW w:type="dxa" w:w="25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Consideration</w:t>
            </w:r>
          </w:p>
        </w:tc>
        <w:tc>
          <w:tcPr>
            <w:tcW w:type="dxa" w:w="27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Evidence Evaluated</w:t>
            </w:r>
          </w:p>
        </w:tc>
        <w:tc>
          <w:tcPr>
            <w:tcW w:type="dxa" w:w="23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Impact on Final Decision</w:t>
            </w:r>
          </w:p>
        </w:tc>
      </w:tr>
      <w:tr>
        <w:trPr>
          <w:cantSplit/>
        </w:trPr>
        <w:tc>
          <w:tcPr>
            <w:tcW w:type="dxa" w:w="15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Sustainability</w:t>
            </w:r>
          </w:p>
        </w:tc>
        <w:tc>
          <w:tcPr>
            <w:tcW w:type="dxa" w:w="25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Reducing waste from over-ordering or emergency under-stocking of spare parts</w:t>
            </w:r>
          </w:p>
        </w:tc>
        <w:tc>
          <w:tcPr>
            <w:tcW w:type="dxa" w:w="27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Low-stock alerting reduces emergency (often costlier and less efficiently sourced) orders</w:t>
            </w:r>
          </w:p>
        </w:tc>
        <w:tc>
          <w:tcPr>
            <w:tcW w:type="dxa" w:w="23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Configurable reorder threshold retained as a core feature rather than an optional extra</w:t>
            </w:r>
          </w:p>
        </w:tc>
      </w:tr>
      <w:tr>
        <w:trPr>
          <w:cantSplit/>
        </w:trPr>
        <w:tc>
          <w:tcPr>
            <w:tcW w:type="dxa" w:w="15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Ethics</w:t>
            </w:r>
          </w:p>
        </w:tc>
        <w:tc>
          <w:tcPr>
            <w:tcW w:type="dxa" w:w="25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Billing must not overcharge or undercharge customers</w:t>
            </w:r>
          </w:p>
        </w:tc>
        <w:tc>
          <w:tcPr>
            <w:tcW w:type="dxa" w:w="27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Reviewed the calculation formula for rounding and tax-application errors during design</w:t>
            </w:r>
          </w:p>
        </w:tc>
        <w:tc>
          <w:tcPr>
            <w:tcW w:type="dxa" w:w="23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Tax and discount kept as explicit, auditable fields in the Bill class rather than folded into a single opaque total</w:t>
            </w:r>
          </w:p>
        </w:tc>
      </w:tr>
      <w:tr>
        <w:trPr>
          <w:cantSplit/>
        </w:trPr>
        <w:tc>
          <w:tcPr>
            <w:tcW w:type="dxa" w:w="15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Health &amp; Safety</w:t>
            </w:r>
          </w:p>
        </w:tc>
        <w:tc>
          <w:tcPr>
            <w:tcW w:type="dxa" w:w="25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Incorrect stock records could lead a mechanic to use an unsuitable or unavailable part</w:t>
            </w:r>
          </w:p>
        </w:tc>
        <w:tc>
          <w:tcPr>
            <w:tcW w:type="dxa" w:w="27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Considered failure case where stock shows available but the part is physically absent</w:t>
            </w:r>
          </w:p>
        </w:tc>
        <w:tc>
          <w:tcPr>
            <w:tcW w:type="dxa" w:w="23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Stock-check method required to run immediately before any part is marked as used on a job</w:t>
            </w:r>
          </w:p>
        </w:tc>
      </w:tr>
      <w:tr>
        <w:trPr>
          <w:cantSplit/>
        </w:trPr>
        <w:tc>
          <w:tcPr>
            <w:tcW w:type="dxa" w:w="15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Security</w:t>
            </w:r>
          </w:p>
        </w:tc>
        <w:tc>
          <w:tcPr>
            <w:tcW w:type="dxa" w:w="25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Billing and stock data must not be alterable by unauthorised users</w:t>
            </w:r>
          </w:p>
        </w:tc>
        <w:tc>
          <w:tcPr>
            <w:tcW w:type="dxa" w:w="27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Reviewed the shared "Authentication &amp; Authorization" and "Validation" utilities in the system architecture (Figure 3.1)</w:t>
            </w:r>
          </w:p>
        </w:tc>
        <w:tc>
          <w:tcPr>
            <w:tcW w:type="dxa" w:w="23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Module 3 restricts stock and billing write-operations to the DAO layer, which is reached only through the authenticated Application Layer, not directly from any presentation-layer component</w:t>
            </w:r>
          </w:p>
        </w:tc>
      </w:tr>
    </w:tbl>
    <w:p>
      <w:pPr>
        <w:pStyle w:val="Heading3"/>
        <w:spacing w:after="120" w:before="160" w:line="276" w:lineRule="auto"/>
      </w:pPr>
      <w:r>
        <w:rPr>
          <w:rFonts w:ascii="Times New Roman" w:cs="Times New Roman" w:eastAsia="Times New Roman" w:hAnsi="Times New Roman"/>
          <w:b/>
          <w:bCs/>
          <w:i/>
          <w:iCs/>
          <w:color w:val="000000"/>
          <w:sz w:val="24"/>
          <w:szCs w:val="24"/>
        </w:rPr>
        <w:t xml:space="preserve">Risk Register</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068"/>
        <w:gridCol w:w="1128"/>
        <w:gridCol w:w="1128"/>
        <w:gridCol w:w="1128"/>
        <w:gridCol w:w="2350"/>
        <w:gridCol w:w="1222"/>
      </w:tblGrid>
      <w:tr>
        <w:trPr>
          <w:cantSplit/>
          <w:tblHeader/>
        </w:trPr>
        <w:tc>
          <w:tcPr>
            <w:tcW w:type="dxa" w:w="2068"/>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Risk</w:t>
            </w:r>
          </w:p>
        </w:tc>
        <w:tc>
          <w:tcPr>
            <w:tcW w:type="dxa" w:w="1128"/>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Likelihood</w:t>
            </w:r>
          </w:p>
        </w:tc>
        <w:tc>
          <w:tcPr>
            <w:tcW w:type="dxa" w:w="1128"/>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Severity</w:t>
            </w:r>
          </w:p>
        </w:tc>
        <w:tc>
          <w:tcPr>
            <w:tcW w:type="dxa" w:w="1128"/>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Risk Level</w:t>
            </w:r>
          </w:p>
        </w:tc>
        <w:tc>
          <w:tcPr>
            <w:tcW w:type="dxa" w:w="235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Mitigation</w:t>
            </w:r>
          </w:p>
        </w:tc>
        <w:tc>
          <w:tcPr>
            <w:tcW w:type="dxa" w:w="1222"/>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Residual Risk</w:t>
            </w:r>
          </w:p>
        </w:tc>
      </w:tr>
      <w:tr>
        <w:trPr>
          <w:cantSplit/>
        </w:trPr>
        <w:tc>
          <w:tcPr>
            <w:tcW w:type="dxa" w:w="206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Stock quantity becomes out of sync with actual usage</w:t>
            </w:r>
          </w:p>
        </w:tc>
        <w:tc>
          <w:tcPr>
            <w:tcW w:type="dxa" w:w="11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Medium</w:t>
            </w:r>
          </w:p>
        </w:tc>
        <w:tc>
          <w:tcPr>
            <w:tcW w:type="dxa" w:w="11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High</w:t>
            </w:r>
          </w:p>
        </w:tc>
        <w:tc>
          <w:tcPr>
            <w:tcW w:type="dxa" w:w="11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High</w:t>
            </w:r>
          </w:p>
        </w:tc>
        <w:tc>
          <w:tcPr>
            <w:tcW w:type="dxa" w:w="235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Deduct stock only through a single Inventory method called at job completion; wrap updates in a database transaction</w:t>
            </w:r>
          </w:p>
        </w:tc>
        <w:tc>
          <w:tcPr>
            <w:tcW w:type="dxa" w:w="1222"/>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w:t>
            </w:r>
          </w:p>
        </w:tc>
      </w:tr>
      <w:tr>
        <w:trPr>
          <w:cantSplit/>
        </w:trPr>
        <w:tc>
          <w:tcPr>
            <w:tcW w:type="dxa" w:w="206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Incorrect bill total due to calculation or rounding error</w:t>
            </w:r>
          </w:p>
        </w:tc>
        <w:tc>
          <w:tcPr>
            <w:tcW w:type="dxa" w:w="11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w:t>
            </w:r>
          </w:p>
        </w:tc>
        <w:tc>
          <w:tcPr>
            <w:tcW w:type="dxa" w:w="11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High</w:t>
            </w:r>
          </w:p>
        </w:tc>
        <w:tc>
          <w:tcPr>
            <w:tcW w:type="dxa" w:w="11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Medium</w:t>
            </w:r>
          </w:p>
        </w:tc>
        <w:tc>
          <w:tcPr>
            <w:tcW w:type="dxa" w:w="235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Centralise the formula in one computeTotal() method; validate with unit tests against manually computed cases</w:t>
            </w:r>
          </w:p>
        </w:tc>
        <w:tc>
          <w:tcPr>
            <w:tcW w:type="dxa" w:w="1222"/>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w:t>
            </w:r>
          </w:p>
        </w:tc>
      </w:tr>
      <w:tr>
        <w:trPr>
          <w:cantSplit/>
        </w:trPr>
        <w:tc>
          <w:tcPr>
            <w:tcW w:type="dxa" w:w="206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Low-stock alert not raised in time</w:t>
            </w:r>
          </w:p>
        </w:tc>
        <w:tc>
          <w:tcPr>
            <w:tcW w:type="dxa" w:w="11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w:t>
            </w:r>
          </w:p>
        </w:tc>
        <w:tc>
          <w:tcPr>
            <w:tcW w:type="dxa" w:w="11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Medium</w:t>
            </w:r>
          </w:p>
        </w:tc>
        <w:tc>
          <w:tcPr>
            <w:tcW w:type="dxa" w:w="11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w:t>
            </w:r>
          </w:p>
        </w:tc>
        <w:tc>
          <w:tcPr>
            <w:tcW w:type="dxa" w:w="235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Check threshold immediately after every stock deduction, not on a periodic schedule</w:t>
            </w:r>
          </w:p>
        </w:tc>
        <w:tc>
          <w:tcPr>
            <w:tcW w:type="dxa" w:w="1222"/>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w:t>
            </w:r>
          </w:p>
        </w:tc>
      </w:tr>
      <w:tr>
        <w:trPr>
          <w:cantSplit/>
        </w:trPr>
        <w:tc>
          <w:tcPr>
            <w:tcW w:type="dxa" w:w="206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Unauthorised modification of stock or billing records</w:t>
            </w:r>
          </w:p>
        </w:tc>
        <w:tc>
          <w:tcPr>
            <w:tcW w:type="dxa" w:w="11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w:t>
            </w:r>
          </w:p>
        </w:tc>
        <w:tc>
          <w:tcPr>
            <w:tcW w:type="dxa" w:w="11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High</w:t>
            </w:r>
          </w:p>
        </w:tc>
        <w:tc>
          <w:tcPr>
            <w:tcW w:type="dxa" w:w="11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Medium</w:t>
            </w:r>
          </w:p>
        </w:tc>
        <w:tc>
          <w:tcPr>
            <w:tcW w:type="dxa" w:w="235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Route all writes through the DAO layer behind the system's authentication utility</w:t>
            </w:r>
          </w:p>
        </w:tc>
        <w:tc>
          <w:tcPr>
            <w:tcW w:type="dxa" w:w="1222"/>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w:t>
            </w:r>
          </w:p>
        </w:tc>
      </w:tr>
      <w:tr>
        <w:trPr>
          <w:cantSplit/>
        </w:trPr>
        <w:tc>
          <w:tcPr>
            <w:tcW w:type="dxa" w:w="206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Invoice missing required fields</w:t>
            </w:r>
          </w:p>
        </w:tc>
        <w:tc>
          <w:tcPr>
            <w:tcW w:type="dxa" w:w="11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w:t>
            </w:r>
          </w:p>
        </w:tc>
        <w:tc>
          <w:tcPr>
            <w:tcW w:type="dxa" w:w="11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Medium</w:t>
            </w:r>
          </w:p>
        </w:tc>
        <w:tc>
          <w:tcPr>
            <w:tcW w:type="dxa" w:w="11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w:t>
            </w:r>
          </w:p>
        </w:tc>
        <w:tc>
          <w:tcPr>
            <w:tcW w:type="dxa" w:w="235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Invoice class requires all mandatory fields at construction time; generation fails fast if any are missing</w:t>
            </w:r>
          </w:p>
        </w:tc>
        <w:tc>
          <w:tcPr>
            <w:tcW w:type="dxa" w:w="1222"/>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w:t>
            </w:r>
          </w:p>
        </w:tc>
      </w:tr>
    </w:tbl>
    <w:p>
      <w:r>
        <w:br w:type="page"/>
      </w:r>
    </w:p>
    <w:p>
      <w:pPr>
        <w:pStyle w:val="Heading1"/>
        <w:spacing w:after="240" w:before="200" w:line="276" w:lineRule="auto"/>
        <w:jc w:val="center"/>
      </w:pPr>
      <w:r>
        <w:rPr>
          <w:rFonts w:ascii="Times New Roman" w:cs="Times New Roman" w:eastAsia="Times New Roman" w:hAnsi="Times New Roman"/>
          <w:b/>
          <w:bCs/>
          <w:color w:val="000000"/>
          <w:sz w:val="28"/>
          <w:szCs w:val="28"/>
        </w:rPr>
        <w:t xml:space="preserve">CHAPTER 4</w:t>
      </w:r>
    </w:p>
    <w:p>
      <w:pPr>
        <w:spacing w:after="300" w:line="276" w:lineRule="auto"/>
        <w:jc w:val="center"/>
      </w:pPr>
      <w:r>
        <w:rPr>
          <w:rFonts w:ascii="Times New Roman" w:cs="Times New Roman" w:eastAsia="Times New Roman" w:hAnsi="Times New Roman"/>
          <w:b/>
          <w:bCs/>
          <w:i w:val="false"/>
          <w:iCs w:val="false"/>
          <w:sz w:val="26"/>
          <w:szCs w:val="26"/>
        </w:rPr>
        <w:t xml:space="preserve">IMPLEMENTATION, TESTING &amp; RESULTS, PROJECT MANAGEMENT</w:t>
      </w:r>
    </w:p>
    <w:p>
      <w:pPr>
        <w:pStyle w:val="Heading2"/>
        <w:spacing w:after="160" w:before="240" w:line="276" w:lineRule="auto"/>
      </w:pPr>
      <w:r>
        <w:rPr>
          <w:rFonts w:ascii="Times New Roman" w:cs="Times New Roman" w:eastAsia="Times New Roman" w:hAnsi="Times New Roman"/>
          <w:b/>
          <w:bCs/>
          <w:color w:val="000000"/>
          <w:sz w:val="28"/>
          <w:szCs w:val="28"/>
        </w:rPr>
        <w:t xml:space="preserve">4.1 Development Approach &amp; Resources</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Module 3 was developed following an iterative approach: the SparePart, Inventory, Bill and Invoice classes and their DAO counterparts were built and unit-tested individually before being exercised together through a small console/GUI driver that simulated a completed service job. This let stock-update logic and bill-calculation logic each be verified in isolation before checking that they behaved correctly when used together, which reduced the effort needed to trace any defect back to its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cantSplit/>
          <w:tblHeader/>
        </w:trPr>
        <w:tc>
          <w:tcPr>
            <w:tcW w:type="dxa" w:w="34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Resource</w:t>
            </w:r>
          </w:p>
        </w:tc>
        <w:tc>
          <w:tcPr>
            <w:tcW w:type="dxa" w:w="56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Purpose</w:t>
            </w:r>
          </w:p>
        </w:tc>
      </w:tr>
      <w:tr>
        <w:trPr>
          <w:cantSplit/>
        </w:trPr>
        <w:tc>
          <w:tcPr>
            <w:tcW w:type="dxa" w:w="3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Java Development Kit (JDK)</w:t>
            </w:r>
          </w:p>
        </w:tc>
        <w:tc>
          <w:tcPr>
            <w:tcW w:type="dxa" w:w="5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Core language runtime and compiler for all module classes</w:t>
            </w:r>
          </w:p>
        </w:tc>
      </w:tr>
      <w:tr>
        <w:trPr>
          <w:cantSplit/>
        </w:trPr>
        <w:tc>
          <w:tcPr>
            <w:tcW w:type="dxa" w:w="3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MySQL</w:t>
            </w:r>
          </w:p>
        </w:tc>
        <w:tc>
          <w:tcPr>
            <w:tcW w:type="dxa" w:w="5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Relational database storing spare-parts, inventory, billing and invoice tables</w:t>
            </w:r>
          </w:p>
        </w:tc>
      </w:tr>
      <w:tr>
        <w:trPr>
          <w:cantSplit/>
        </w:trPr>
        <w:tc>
          <w:tcPr>
            <w:tcW w:type="dxa" w:w="3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JDBC driver</w:t>
            </w:r>
          </w:p>
        </w:tc>
        <w:tc>
          <w:tcPr>
            <w:tcW w:type="dxa" w:w="5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Connectivity between the Java module and the MySQL database</w:t>
            </w:r>
          </w:p>
        </w:tc>
      </w:tr>
      <w:tr>
        <w:trPr>
          <w:cantSplit/>
        </w:trPr>
        <w:tc>
          <w:tcPr>
            <w:tcW w:type="dxa" w:w="3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Integrated Development Environment</w:t>
            </w:r>
          </w:p>
        </w:tc>
        <w:tc>
          <w:tcPr>
            <w:tcW w:type="dxa" w:w="5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Writing, compiling and debugging the module's Java classes</w:t>
            </w:r>
          </w:p>
        </w:tc>
      </w:tr>
    </w:tbl>
    <w:p>
      <w:pPr>
        <w:pStyle w:val="Heading2"/>
        <w:spacing w:after="160" w:before="240" w:line="276" w:lineRule="auto"/>
      </w:pPr>
      <w:r>
        <w:rPr>
          <w:rFonts w:ascii="Times New Roman" w:cs="Times New Roman" w:eastAsia="Times New Roman" w:hAnsi="Times New Roman"/>
          <w:b/>
          <w:bCs/>
          <w:color w:val="000000"/>
          <w:sz w:val="28"/>
          <w:szCs w:val="28"/>
        </w:rPr>
        <w:t xml:space="preserve">4.2 Software Implementation &amp; Modern Tools Used</w:t>
      </w:r>
    </w:p>
    <w:p>
      <w:pPr>
        <w:pStyle w:val="Heading3"/>
        <w:spacing w:after="120" w:before="160" w:line="276" w:lineRule="auto"/>
      </w:pPr>
      <w:r>
        <w:rPr>
          <w:rFonts w:ascii="Times New Roman" w:cs="Times New Roman" w:eastAsia="Times New Roman" w:hAnsi="Times New Roman"/>
          <w:b/>
          <w:bCs/>
          <w:i/>
          <w:iCs/>
          <w:color w:val="000000"/>
          <w:sz w:val="24"/>
          <w:szCs w:val="24"/>
        </w:rPr>
        <w:t xml:space="preserve">Software Implementation</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The module was implemented in standard Java using object-oriented design: SparePart and Bill are simple data-holding classes with validation in their constructors; Inventory wraps a Java Collection (a HashMap keyed by part ID) to give constant-time lookup during stock checks and updates; InventoryDAO and BillingDAO encapsulate all JDBC calls, so no SQL statements appear outside the DAO layer. Exception handling (try–catch around JDBC calls, and custom checked exceptions such as InsufficientStockException) ensures that a failed database operation or an attempt to deduct more stock than is available is reported clearly rather than silently corrupting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00"/>
      </w:tblGrid>
      <w:tr>
        <w:trPr>
          <w:cantSplit/>
          <w:tblHeader/>
        </w:trPr>
        <w:tc>
          <w:tcPr>
            <w:tcW w:type="dxa" w:w="28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Tool / Software / Equipment</w:t>
            </w:r>
          </w:p>
        </w:tc>
        <w:tc>
          <w:tcPr>
            <w:tcW w:type="dxa" w:w="36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Purpose</w:t>
            </w:r>
          </w:p>
        </w:tc>
        <w:tc>
          <w:tcPr>
            <w:tcW w:type="dxa" w:w="26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Stage Used</w:t>
            </w:r>
          </w:p>
        </w:tc>
      </w:tr>
      <w:tr>
        <w:trPr>
          <w:cantSplit/>
        </w:trPr>
        <w:tc>
          <w:tcPr>
            <w:tcW w:type="dxa" w:w="2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Java Development Kit</w:t>
            </w:r>
          </w:p>
        </w:tc>
        <w:tc>
          <w:tcPr>
            <w:tcW w:type="dxa" w:w="3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Compiling and running module classes</w:t>
            </w:r>
          </w:p>
        </w:tc>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Implementation, Testing</w:t>
            </w:r>
          </w:p>
        </w:tc>
      </w:tr>
      <w:tr>
        <w:trPr>
          <w:cantSplit/>
        </w:trPr>
        <w:tc>
          <w:tcPr>
            <w:tcW w:type="dxa" w:w="2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MySQL Workbench</w:t>
            </w:r>
          </w:p>
        </w:tc>
        <w:tc>
          <w:tcPr>
            <w:tcW w:type="dxa" w:w="3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Designing and inspecting the Inventory, Bills and Invoices tables</w:t>
            </w:r>
          </w:p>
        </w:tc>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Design, Implementation</w:t>
            </w:r>
          </w:p>
        </w:tc>
      </w:tr>
      <w:tr>
        <w:trPr>
          <w:cantSplit/>
        </w:trPr>
        <w:tc>
          <w:tcPr>
            <w:tcW w:type="dxa" w:w="2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Integrated Development Environment</w:t>
            </w:r>
          </w:p>
        </w:tc>
        <w:tc>
          <w:tcPr>
            <w:tcW w:type="dxa" w:w="3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Writing, refactoring and debugging code</w:t>
            </w:r>
          </w:p>
        </w:tc>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Implementation</w:t>
            </w:r>
          </w:p>
        </w:tc>
      </w:tr>
      <w:tr>
        <w:trPr>
          <w:cantSplit/>
        </w:trPr>
        <w:tc>
          <w:tcPr>
            <w:tcW w:type="dxa" w:w="2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Version control (Git)</w:t>
            </w:r>
          </w:p>
        </w:tc>
        <w:tc>
          <w:tcPr>
            <w:tcW w:type="dxa" w:w="3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Tracking incremental changes to the module's source files</w:t>
            </w:r>
          </w:p>
        </w:tc>
        <w:tc>
          <w:tcPr>
            <w:tcW w:type="dxa" w:w="26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Implementation, Testing</w:t>
            </w:r>
          </w:p>
        </w:tc>
      </w:tr>
    </w:tbl>
    <w:p>
      <w:pPr>
        <w:pStyle w:val="Heading2"/>
        <w:spacing w:after="160" w:before="240" w:line="276" w:lineRule="auto"/>
      </w:pPr>
      <w:r>
        <w:rPr>
          <w:rFonts w:ascii="Times New Roman" w:cs="Times New Roman" w:eastAsia="Times New Roman" w:hAnsi="Times New Roman"/>
          <w:b/>
          <w:bCs/>
          <w:color w:val="000000"/>
          <w:sz w:val="28"/>
          <w:szCs w:val="28"/>
        </w:rPr>
        <w:t xml:space="preserve">4.3 Test Plan &amp; Verification</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The test plan was defined before running any tests, so that expected behaviour was fixed in advance rather than adjusted after seeing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cantSplit/>
          <w:tblHeader/>
        </w:trPr>
        <w:tc>
          <w:tcPr>
            <w:tcW w:type="dxa" w:w="22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Requirement</w:t>
            </w:r>
          </w:p>
        </w:tc>
        <w:tc>
          <w:tcPr>
            <w:tcW w:type="dxa" w:w="38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Test Method</w:t>
            </w:r>
          </w:p>
        </w:tc>
        <w:tc>
          <w:tcPr>
            <w:tcW w:type="dxa" w:w="30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Acceptance Criterion</w:t>
            </w:r>
          </w:p>
        </w:tc>
      </w:tr>
      <w:tr>
        <w:trPr>
          <w:cantSplit/>
        </w:trPr>
        <w:tc>
          <w:tcPr>
            <w:tcW w:type="dxa" w:w="22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F1 – Spare-part CRUD</w:t>
            </w:r>
          </w:p>
        </w:tc>
        <w:tc>
          <w:tcPr>
            <w:tcW w:type="dxa" w:w="3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Add, update, search and delete a sample part record</w:t>
            </w:r>
          </w:p>
        </w:tc>
        <w:tc>
          <w:tcPr>
            <w:tcW w:type="dxa" w:w="30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Record reflects the exact values entered, with no data loss after each operation</w:t>
            </w:r>
          </w:p>
        </w:tc>
      </w:tr>
      <w:tr>
        <w:trPr>
          <w:cantSplit/>
        </w:trPr>
        <w:tc>
          <w:tcPr>
            <w:tcW w:type="dxa" w:w="22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F2 – Stock update</w:t>
            </w:r>
          </w:p>
        </w:tc>
        <w:tc>
          <w:tcPr>
            <w:tcW w:type="dxa" w:w="3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Deduct stock for a simulated job, then add stock for a simulated purchase</w:t>
            </w:r>
          </w:p>
        </w:tc>
        <w:tc>
          <w:tcPr>
            <w:tcW w:type="dxa" w:w="30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Quantity decreases/increases by exactly the transacted amount</w:t>
            </w:r>
          </w:p>
        </w:tc>
      </w:tr>
      <w:tr>
        <w:trPr>
          <w:cantSplit/>
        </w:trPr>
        <w:tc>
          <w:tcPr>
            <w:tcW w:type="dxa" w:w="22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F3 – Low-stock alert</w:t>
            </w:r>
          </w:p>
        </w:tc>
        <w:tc>
          <w:tcPr>
            <w:tcW w:type="dxa" w:w="3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Reduce a part's quantity to and below its threshold</w:t>
            </w:r>
          </w:p>
        </w:tc>
        <w:tc>
          <w:tcPr>
            <w:tcW w:type="dxa" w:w="30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Alert flag becomes true exactly when quantity ≤ threshold</w:t>
            </w:r>
          </w:p>
        </w:tc>
      </w:tr>
      <w:tr>
        <w:trPr>
          <w:cantSplit/>
        </w:trPr>
        <w:tc>
          <w:tcPr>
            <w:tcW w:type="dxa" w:w="22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F4 – Bill calculation</w:t>
            </w:r>
          </w:p>
        </w:tc>
        <w:tc>
          <w:tcPr>
            <w:tcW w:type="dxa" w:w="3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Compute total for several service+parts+tax+discount combinations</w:t>
            </w:r>
          </w:p>
        </w:tc>
        <w:tc>
          <w:tcPr>
            <w:tcW w:type="dxa" w:w="30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Calculated total matches manual reference calculation</w:t>
            </w:r>
          </w:p>
        </w:tc>
      </w:tr>
      <w:tr>
        <w:trPr>
          <w:cantSplit/>
        </w:trPr>
        <w:tc>
          <w:tcPr>
            <w:tcW w:type="dxa" w:w="22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F5 – Invoice generation</w:t>
            </w:r>
          </w:p>
        </w:tc>
        <w:tc>
          <w:tcPr>
            <w:tcW w:type="dxa" w:w="3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Generate an invoice from a finalised bill</w:t>
            </w:r>
          </w:p>
        </w:tc>
        <w:tc>
          <w:tcPr>
            <w:tcW w:type="dxa" w:w="30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All required fields (customer, vehicle, service, parts, payment) present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00"/>
      </w:tblGrid>
      <w:tr>
        <w:trPr>
          <w:cantSplit/>
          <w:tblHeader/>
        </w:trPr>
        <w:tc>
          <w:tcPr>
            <w:tcW w:type="dxa" w:w="24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Specification</w:t>
            </w:r>
          </w:p>
        </w:tc>
        <w:tc>
          <w:tcPr>
            <w:tcW w:type="dxa" w:w="24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Required Value</w:t>
            </w:r>
          </w:p>
        </w:tc>
        <w:tc>
          <w:tcPr>
            <w:tcW w:type="dxa" w:w="24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Achieved Value</w:t>
            </w:r>
          </w:p>
        </w:tc>
        <w:tc>
          <w:tcPr>
            <w:tcW w:type="dxa" w:w="180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Status (Pass/Fail)</w:t>
            </w:r>
          </w:p>
        </w:tc>
      </w:tr>
      <w:tr>
        <w:trPr>
          <w:cantSplit/>
        </w:trPr>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Stock update latency</w:t>
            </w:r>
          </w:p>
        </w:tc>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 1 second</w:t>
            </w:r>
          </w:p>
        </w:tc>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&lt; 1 second (single-record update)</w:t>
            </w:r>
          </w:p>
        </w:tc>
        <w:tc>
          <w:tcPr>
            <w:tcW w:type="dxa" w:w="1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Bill calculation accuracy</w:t>
            </w:r>
          </w:p>
        </w:tc>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Exact match</w:t>
            </w:r>
          </w:p>
        </w:tc>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Exact match on all tested cases</w:t>
            </w:r>
          </w:p>
        </w:tc>
        <w:tc>
          <w:tcPr>
            <w:tcW w:type="dxa" w:w="1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Low-stock alert threshold</w:t>
            </w:r>
          </w:p>
        </w:tc>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Default 5 units, configurable</w:t>
            </w:r>
          </w:p>
        </w:tc>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Behaved as configured in all tested cases</w:t>
            </w:r>
          </w:p>
        </w:tc>
        <w:tc>
          <w:tcPr>
            <w:tcW w:type="dxa" w:w="1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Invoice completeness</w:t>
            </w:r>
          </w:p>
        </w:tc>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All required fields present</w:t>
            </w:r>
          </w:p>
        </w:tc>
        <w:tc>
          <w:tcPr>
            <w:tcW w:type="dxa" w:w="24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All required fields present in every generated invoice</w:t>
            </w:r>
          </w:p>
        </w:tc>
        <w:tc>
          <w:tcPr>
            <w:tcW w:type="dxa" w:w="180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Pass</w:t>
            </w:r>
          </w:p>
        </w:tc>
      </w:tr>
    </w:tbl>
    <w:p>
      <w:pPr>
        <w:pStyle w:val="Heading2"/>
        <w:spacing w:after="160" w:before="240" w:line="276" w:lineRule="auto"/>
      </w:pPr>
      <w:r>
        <w:rPr>
          <w:rFonts w:ascii="Times New Roman" w:cs="Times New Roman" w:eastAsia="Times New Roman" w:hAnsi="Times New Roman"/>
          <w:b/>
          <w:bCs/>
          <w:color w:val="000000"/>
          <w:sz w:val="28"/>
          <w:szCs w:val="28"/>
        </w:rPr>
        <w:t xml:space="preserve">4.4 Results</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Functional testing confirmed that the Inventory class correctly reflects the net effect of stock-in and stock-out operations, that the low-stock flag is raised at the configured threshold and cleared once stock is replenished above it, and that the Bill class's computeTotal() method reproduces manually calculated totals across a range of service-charge, parts-cost, tax and discount combinations, including edge cases such as a zero discount and a part list containing a single item. Generated invoices consistently contained all mandatory fields and correctly reflected the values held in the corresponding Bill and service record.</w:t>
      </w:r>
    </w:p>
    <w:p>
      <w:pPr>
        <w:pStyle w:val="Heading2"/>
        <w:spacing w:after="160" w:before="240" w:line="276" w:lineRule="auto"/>
      </w:pPr>
      <w:r>
        <w:rPr>
          <w:rFonts w:ascii="Times New Roman" w:cs="Times New Roman" w:eastAsia="Times New Roman" w:hAnsi="Times New Roman"/>
          <w:b/>
          <w:bCs/>
          <w:color w:val="000000"/>
          <w:sz w:val="28"/>
          <w:szCs w:val="28"/>
        </w:rPr>
        <w:t xml:space="preserve">4.5 Data Analysis &amp; Engineering Judgment</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The stock-update and bill-calculation logic performed as intended across all tested scenarios, with no discrepancy observed between expected and computed values. Two edge cases required specific handling during implementation: first, attempting to deduct more stock than is available now raises an InsufficientStockException rather than allowing the quantity to go negative, which reflects a physically impossible state; second, a bill with a discount larger than the subtotal is rejected at validation rather than allowed to produce a negative payable amount. Both decisions follow directly from treating the module's outputs as customer-facing financial and operational data, where silent or unrealistic values are unacceptable regardless of how rarely they might occur in practice.</w:t>
      </w:r>
    </w:p>
    <w:p>
      <w:pPr>
        <w:pStyle w:val="Heading2"/>
        <w:spacing w:after="160" w:before="240" w:line="276" w:lineRule="auto"/>
      </w:pPr>
      <w:r>
        <w:rPr>
          <w:rFonts w:ascii="Times New Roman" w:cs="Times New Roman" w:eastAsia="Times New Roman" w:hAnsi="Times New Roman"/>
          <w:b/>
          <w:bCs/>
          <w:color w:val="000000"/>
          <w:sz w:val="28"/>
          <w:szCs w:val="28"/>
        </w:rPr>
        <w:t xml:space="preserve">4.6 Comparison with Existing Solutions &amp; Achievement of Objectives</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943"/>
        <w:gridCol w:w="3728"/>
        <w:gridCol w:w="2354"/>
      </w:tblGrid>
      <w:tr>
        <w:trPr>
          <w:cantSplit/>
          <w:tblHeader/>
        </w:trPr>
        <w:tc>
          <w:tcPr>
            <w:tcW w:type="dxa" w:w="2943"/>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Objective</w:t>
            </w:r>
          </w:p>
        </w:tc>
        <w:tc>
          <w:tcPr>
            <w:tcW w:type="dxa" w:w="3728"/>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Evidence</w:t>
            </w:r>
          </w:p>
        </w:tc>
        <w:tc>
          <w:tcPr>
            <w:tcW w:type="dxa" w:w="2354"/>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Achievement (Fully / Partially / Not Achieved)</w:t>
            </w:r>
          </w:p>
        </w:tc>
      </w:tr>
      <w:tr>
        <w:trPr>
          <w:cantSplit/>
        </w:trPr>
        <w:tc>
          <w:tcPr>
            <w:tcW w:type="dxa" w:w="294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Design a spare-parts data model</w:t>
            </w:r>
          </w:p>
        </w:tc>
        <w:tc>
          <w:tcPr>
            <w:tcW w:type="dxa" w:w="3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SparePart class with name, price, supplier, quantity fields; corresponding database table</w:t>
            </w:r>
          </w:p>
        </w:tc>
        <w:tc>
          <w:tcPr>
            <w:tcW w:type="dxa" w:w="235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Fully Achieved</w:t>
            </w:r>
          </w:p>
        </w:tc>
      </w:tr>
      <w:tr>
        <w:trPr>
          <w:cantSplit/>
        </w:trPr>
        <w:tc>
          <w:tcPr>
            <w:tcW w:type="dxa" w:w="294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Automatic stock tracking on purchase/usage</w:t>
            </w:r>
          </w:p>
        </w:tc>
        <w:tc>
          <w:tcPr>
            <w:tcW w:type="dxa" w:w="3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Inventory class stock-in/stock-out methods, verified in Section 4.3</w:t>
            </w:r>
          </w:p>
        </w:tc>
        <w:tc>
          <w:tcPr>
            <w:tcW w:type="dxa" w:w="235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Fully Achieved</w:t>
            </w:r>
          </w:p>
        </w:tc>
      </w:tr>
      <w:tr>
        <w:trPr>
          <w:cantSplit/>
        </w:trPr>
        <w:tc>
          <w:tcPr>
            <w:tcW w:type="dxa" w:w="294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Low-stock monitoring</w:t>
            </w:r>
          </w:p>
        </w:tc>
        <w:tc>
          <w:tcPr>
            <w:tcW w:type="dxa" w:w="3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Threshold check integrated into every stock deduction</w:t>
            </w:r>
          </w:p>
        </w:tc>
        <w:tc>
          <w:tcPr>
            <w:tcW w:type="dxa" w:w="235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Fully Achieved</w:t>
            </w:r>
          </w:p>
        </w:tc>
      </w:tr>
      <w:tr>
        <w:trPr>
          <w:cantSplit/>
        </w:trPr>
        <w:tc>
          <w:tcPr>
            <w:tcW w:type="dxa" w:w="294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Bill calculation with tax and discount</w:t>
            </w:r>
          </w:p>
        </w:tc>
        <w:tc>
          <w:tcPr>
            <w:tcW w:type="dxa" w:w="3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Bill.computeTotal() verified against manual reference values</w:t>
            </w:r>
          </w:p>
        </w:tc>
        <w:tc>
          <w:tcPr>
            <w:tcW w:type="dxa" w:w="235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Fully Achieved</w:t>
            </w:r>
          </w:p>
        </w:tc>
      </w:tr>
      <w:tr>
        <w:trPr>
          <w:cantSplit/>
        </w:trPr>
        <w:tc>
          <w:tcPr>
            <w:tcW w:type="dxa" w:w="294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Invoice generation</w:t>
            </w:r>
          </w:p>
        </w:tc>
        <w:tc>
          <w:tcPr>
            <w:tcW w:type="dxa" w:w="3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Invoice class compiling customer, vehicle, service, parts and payment data</w:t>
            </w:r>
          </w:p>
        </w:tc>
        <w:tc>
          <w:tcPr>
            <w:tcW w:type="dxa" w:w="235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Fully Achieved</w:t>
            </w:r>
          </w:p>
        </w:tc>
      </w:tr>
      <w:tr>
        <w:trPr>
          <w:cantSplit/>
        </w:trPr>
        <w:tc>
          <w:tcPr>
            <w:tcW w:type="dxa" w:w="294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Testing of module functions</w:t>
            </w:r>
          </w:p>
        </w:tc>
        <w:tc>
          <w:tcPr>
            <w:tcW w:type="dxa" w:w="3728"/>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Unit and module-level tests documented in Section 4.3</w:t>
            </w:r>
          </w:p>
        </w:tc>
        <w:tc>
          <w:tcPr>
            <w:tcW w:type="dxa" w:w="2354"/>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Fully Achieved</w:t>
            </w:r>
          </w:p>
        </w:tc>
      </w:tr>
    </w:tbl>
    <w:p>
      <w:pPr>
        <w:spacing w:after="160" w:line="276" w:lineRule="auto"/>
        <w:jc w:val="both"/>
      </w:pPr>
      <w:r>
        <w:rPr>
          <w:rFonts w:ascii="Times New Roman" w:cs="Times New Roman" w:eastAsia="Times New Roman" w:hAnsi="Times New Roman"/>
          <w:b w:val="false"/>
          <w:bCs w:val="false"/>
          <w:i w:val="false"/>
          <w:iCs w:val="false"/>
          <w:sz w:val="24"/>
          <w:szCs w:val="24"/>
        </w:rPr>
        <w:t xml:space="preserve">Compared with Reddy et al. (2024), the closest prior work reviewed in Chapter 2, this module documents an explicit, testable formula for combining service charge, parts cost, tax and discount, and an explicit threshold mechanism for low-stock alerts — detail that was not available in the reviewed description of that system.</w:t>
      </w:r>
    </w:p>
    <w:p>
      <w:pPr>
        <w:pStyle w:val="Heading2"/>
        <w:spacing w:after="160" w:before="240" w:line="276" w:lineRule="auto"/>
      </w:pPr>
      <w:r>
        <w:rPr>
          <w:rFonts w:ascii="Times New Roman" w:cs="Times New Roman" w:eastAsia="Times New Roman" w:hAnsi="Times New Roman"/>
          <w:b/>
          <w:bCs/>
          <w:color w:val="000000"/>
          <w:sz w:val="28"/>
          <w:szCs w:val="28"/>
        </w:rPr>
        <w:t xml:space="preserve">4.7 Strengths &amp; Limitations</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Strengths:</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Clear separation between data model, DAO and calculation logic makes the module easy to test and extend.</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Centralising the billing formula in a single method removes a common source of inconsistent calculations.</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The stock-check-before-deduction pattern directly addresses the stock-mismatch risk identified in Chapter 1.</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Limitations:</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The module has been verified through unit and module-level tests using simulated data rather than a live multi-user workshop environment, so behaviour under heavy concurrent access has not been fully characterised.</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Supplier reordering is limited to flagging low stock; it does not yet place or track actual purchase orders.</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Tax handling currently assumes a single configurable tax rate rather than multiple tax slabs for different part categories.</w:t>
      </w:r>
    </w:p>
    <w:p>
      <w:pPr>
        <w:pStyle w:val="Heading2"/>
        <w:spacing w:after="160" w:before="240" w:line="276" w:lineRule="auto"/>
      </w:pPr>
      <w:r>
        <w:rPr>
          <w:rFonts w:ascii="Times New Roman" w:cs="Times New Roman" w:eastAsia="Times New Roman" w:hAnsi="Times New Roman"/>
          <w:b/>
          <w:bCs/>
          <w:color w:val="000000"/>
          <w:sz w:val="28"/>
          <w:szCs w:val="28"/>
        </w:rPr>
        <w:t xml:space="preserve">4.8 Project Planning, Roles &amp; Budget</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373"/>
        <w:gridCol w:w="5886"/>
        <w:gridCol w:w="1765"/>
      </w:tblGrid>
      <w:tr>
        <w:trPr>
          <w:cantSplit/>
          <w:tblHeader/>
        </w:trPr>
        <w:tc>
          <w:tcPr>
            <w:tcW w:type="dxa" w:w="1373"/>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Milestone</w:t>
            </w:r>
          </w:p>
        </w:tc>
        <w:tc>
          <w:tcPr>
            <w:tcW w:type="dxa" w:w="5886"/>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Planned Activity</w:t>
            </w:r>
          </w:p>
        </w:tc>
        <w:tc>
          <w:tcPr>
            <w:tcW w:type="dxa" w:w="1765"/>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Status</w:t>
            </w:r>
          </w:p>
        </w:tc>
      </w:tr>
      <w:tr>
        <w:trPr>
          <w:cantSplit/>
        </w:trPr>
        <w:tc>
          <w:tcPr>
            <w:tcW w:type="dxa" w:w="137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M1</w:t>
            </w:r>
          </w:p>
        </w:tc>
        <w:tc>
          <w:tcPr>
            <w:tcW w:type="dxa" w:w="588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Requirement analysis and data model design for spare parts, inventory and billing</w:t>
            </w:r>
          </w:p>
        </w:tc>
        <w:tc>
          <w:tcPr>
            <w:tcW w:type="dxa" w:w="176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Completed</w:t>
            </w:r>
          </w:p>
        </w:tc>
      </w:tr>
      <w:tr>
        <w:trPr>
          <w:cantSplit/>
        </w:trPr>
        <w:tc>
          <w:tcPr>
            <w:tcW w:type="dxa" w:w="137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M2</w:t>
            </w:r>
          </w:p>
        </w:tc>
        <w:tc>
          <w:tcPr>
            <w:tcW w:type="dxa" w:w="588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Implementation of SparePart, Inventory, Bill and Invoice classes and DAO layer</w:t>
            </w:r>
          </w:p>
        </w:tc>
        <w:tc>
          <w:tcPr>
            <w:tcW w:type="dxa" w:w="176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Completed</w:t>
            </w:r>
          </w:p>
        </w:tc>
      </w:tr>
      <w:tr>
        <w:trPr>
          <w:cantSplit/>
        </w:trPr>
        <w:tc>
          <w:tcPr>
            <w:tcW w:type="dxa" w:w="137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M3</w:t>
            </w:r>
          </w:p>
        </w:tc>
        <w:tc>
          <w:tcPr>
            <w:tcW w:type="dxa" w:w="588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Unit testing of stock-update and bill-calculation logic</w:t>
            </w:r>
          </w:p>
        </w:tc>
        <w:tc>
          <w:tcPr>
            <w:tcW w:type="dxa" w:w="176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Completed</w:t>
            </w:r>
          </w:p>
        </w:tc>
      </w:tr>
      <w:tr>
        <w:trPr>
          <w:cantSplit/>
        </w:trPr>
        <w:tc>
          <w:tcPr>
            <w:tcW w:type="dxa" w:w="137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M4</w:t>
            </w:r>
          </w:p>
        </w:tc>
        <w:tc>
          <w:tcPr>
            <w:tcW w:type="dxa" w:w="588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Module-level testing and invoice-generation verification</w:t>
            </w:r>
          </w:p>
        </w:tc>
        <w:tc>
          <w:tcPr>
            <w:tcW w:type="dxa" w:w="176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Completed</w:t>
            </w:r>
          </w:p>
        </w:tc>
      </w:tr>
      <w:tr>
        <w:trPr>
          <w:cantSplit/>
        </w:trPr>
        <w:tc>
          <w:tcPr>
            <w:tcW w:type="dxa" w:w="1373"/>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M5</w:t>
            </w:r>
          </w:p>
        </w:tc>
        <w:tc>
          <w:tcPr>
            <w:tcW w:type="dxa" w:w="5886"/>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Documentation and preparation of this individual module report</w:t>
            </w:r>
          </w:p>
        </w:tc>
        <w:tc>
          <w:tcPr>
            <w:tcW w:type="dxa" w:w="176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Completed</w:t>
            </w:r>
          </w:p>
        </w:tc>
      </w:tr>
    </w:tbl>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747"/>
        <w:gridCol w:w="3531"/>
        <w:gridCol w:w="2747"/>
      </w:tblGrid>
      <w:tr>
        <w:trPr>
          <w:cantSplit/>
          <w:tblHeader/>
        </w:trPr>
        <w:tc>
          <w:tcPr>
            <w:tcW w:type="dxa" w:w="2747"/>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Student</w:t>
            </w:r>
          </w:p>
        </w:tc>
        <w:tc>
          <w:tcPr>
            <w:tcW w:type="dxa" w:w="3531"/>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Assigned Responsibility</w:t>
            </w:r>
          </w:p>
        </w:tc>
        <w:tc>
          <w:tcPr>
            <w:tcW w:type="dxa" w:w="2747"/>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Actual Contribution</w:t>
            </w:r>
          </w:p>
        </w:tc>
      </w:tr>
      <w:tr>
        <w:trPr>
          <w:cantSplit/>
        </w:trPr>
        <w:tc>
          <w:tcPr>
            <w:tcW w:type="dxa" w:w="2747"/>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 Bhavesh (192572024)</w:t>
            </w:r>
          </w:p>
        </w:tc>
        <w:tc>
          <w:tcPr>
            <w:tcW w:type="dxa" w:w="3531"/>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Module 3 – Spare Parts Inventory and Billing Management</w:t>
            </w:r>
          </w:p>
        </w:tc>
        <w:tc>
          <w:tcPr>
            <w:tcW w:type="dxa" w:w="2747"/>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Designed, implemented and tested the complete module as described in this report</w:t>
            </w:r>
          </w:p>
        </w:tc>
      </w:tr>
    </w:tbl>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335"/>
        <w:gridCol w:w="3139"/>
        <w:gridCol w:w="2550"/>
      </w:tblGrid>
      <w:tr>
        <w:trPr>
          <w:cantSplit/>
          <w:tblHeader/>
        </w:trPr>
        <w:tc>
          <w:tcPr>
            <w:tcW w:type="dxa" w:w="3335"/>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Item</w:t>
            </w:r>
          </w:p>
        </w:tc>
        <w:tc>
          <w:tcPr>
            <w:tcW w:type="dxa" w:w="3139"/>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Estimated Cost</w:t>
            </w:r>
          </w:p>
        </w:tc>
        <w:tc>
          <w:tcPr>
            <w:tcW w:type="dxa" w:w="255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Actual Cost</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Development effort (Module 3)</w:t>
            </w:r>
          </w:p>
        </w:tc>
        <w:tc>
          <w:tcPr>
            <w:tcW w:type="dxa" w:w="313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Included in overall project effort</w:t>
            </w:r>
          </w:p>
        </w:tc>
        <w:tc>
          <w:tcPr>
            <w:tcW w:type="dxa" w:w="255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No separate cost — student development time</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Software licensing (JDK, MySQL, IDE)</w:t>
            </w:r>
          </w:p>
        </w:tc>
        <w:tc>
          <w:tcPr>
            <w:tcW w:type="dxa" w:w="313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₹0 (open-source / free-tier tools)</w:t>
            </w:r>
          </w:p>
        </w:tc>
        <w:tc>
          <w:tcPr>
            <w:tcW w:type="dxa" w:w="255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₹0</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Contingency</w:t>
            </w:r>
          </w:p>
        </w:tc>
        <w:tc>
          <w:tcPr>
            <w:tcW w:type="dxa" w:w="313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Not applicable at module level</w:t>
            </w:r>
          </w:p>
        </w:tc>
        <w:tc>
          <w:tcPr>
            <w:tcW w:type="dxa" w:w="255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Not applicable</w:t>
            </w:r>
          </w:p>
        </w:tc>
      </w:tr>
    </w:tbl>
    <w:p>
      <w:r>
        <w:br w:type="page"/>
      </w:r>
    </w:p>
    <w:p>
      <w:pPr>
        <w:pStyle w:val="Heading1"/>
        <w:spacing w:after="240" w:before="200" w:line="276" w:lineRule="auto"/>
        <w:jc w:val="center"/>
      </w:pPr>
      <w:r>
        <w:rPr>
          <w:rFonts w:ascii="Times New Roman" w:cs="Times New Roman" w:eastAsia="Times New Roman" w:hAnsi="Times New Roman"/>
          <w:b/>
          <w:bCs/>
          <w:color w:val="000000"/>
          <w:sz w:val="28"/>
          <w:szCs w:val="28"/>
        </w:rPr>
        <w:t xml:space="preserve">CHAPTER 5</w:t>
      </w:r>
    </w:p>
    <w:p>
      <w:pPr>
        <w:spacing w:after="300" w:line="276" w:lineRule="auto"/>
        <w:jc w:val="center"/>
      </w:pPr>
      <w:r>
        <w:rPr>
          <w:rFonts w:ascii="Times New Roman" w:cs="Times New Roman" w:eastAsia="Times New Roman" w:hAnsi="Times New Roman"/>
          <w:b/>
          <w:bCs/>
          <w:i w:val="false"/>
          <w:iCs w:val="false"/>
          <w:sz w:val="26"/>
          <w:szCs w:val="26"/>
        </w:rPr>
        <w:t xml:space="preserve">CONCLUSION, FUTURE WORK AND REFLECTION</w:t>
      </w:r>
    </w:p>
    <w:p>
      <w:pPr>
        <w:pStyle w:val="Heading2"/>
        <w:spacing w:after="160" w:before="240" w:line="276" w:lineRule="auto"/>
      </w:pPr>
      <w:r>
        <w:rPr>
          <w:rFonts w:ascii="Times New Roman" w:cs="Times New Roman" w:eastAsia="Times New Roman" w:hAnsi="Times New Roman"/>
          <w:b/>
          <w:bCs/>
          <w:color w:val="000000"/>
          <w:sz w:val="28"/>
          <w:szCs w:val="28"/>
        </w:rPr>
        <w:t xml:space="preserve">5.1 Conclusion</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This report has presented Module 3 of the Smart Vehicle Service Management System — Spare Parts Inventory and Billing Management — covering the engineering problem of manual, error-prone stock tracking and bill calculation in a vehicle service centre, and the design, implementation and testing of a Java-based solution built on an object-oriented data model and a JDBC-backed relational database. The module reliably tracks spare-parts stock, raises timely low-stock alerts, computes accurate bills that combine service charge, parts cost, tax and discount, and generates complete, structured invoices. Testing against a pre-defined plan confirmed that every functional and non-functional requirement identified in Chapter 3 was met, and comparison with the reviewed literature in Chapter 2 shows that the module documents calculation and alerting logic in more explicit detail than the closest prior published system. Overall, the module makes a concrete, verifiable contribution to the wider five-module capstone project.</w:t>
      </w:r>
    </w:p>
    <w:p>
      <w:pPr>
        <w:pStyle w:val="Heading2"/>
        <w:spacing w:after="160" w:before="240" w:line="276" w:lineRule="auto"/>
      </w:pPr>
      <w:r>
        <w:rPr>
          <w:rFonts w:ascii="Times New Roman" w:cs="Times New Roman" w:eastAsia="Times New Roman" w:hAnsi="Times New Roman"/>
          <w:b/>
          <w:bCs/>
          <w:color w:val="000000"/>
          <w:sz w:val="28"/>
          <w:szCs w:val="28"/>
        </w:rPr>
        <w:t xml:space="preserve">5.2 Future Work</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Extend low-stock monitoring into an automated supplier-reorder workflow rather than a flag alone.</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Support multiple tax slabs for different categories of spare parts, in line with applicable GST rules.</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Integrate barcode or QR-code scanning for faster spare-part identification during stock-in and stock-out.</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Add online-payment-gateway integration so invoices generated by this module can be settled digitally.</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Evaluate the module's behaviour under concurrent multi-user access once integrated with the full system.</w:t>
      </w:r>
    </w:p>
    <w:p>
      <w:pPr>
        <w:pStyle w:val="Heading2"/>
        <w:spacing w:after="160" w:before="240" w:line="276" w:lineRule="auto"/>
      </w:pPr>
      <w:r>
        <w:rPr>
          <w:rFonts w:ascii="Times New Roman" w:cs="Times New Roman" w:eastAsia="Times New Roman" w:hAnsi="Times New Roman"/>
          <w:b/>
          <w:bCs/>
          <w:color w:val="000000"/>
          <w:sz w:val="28"/>
          <w:szCs w:val="28"/>
        </w:rPr>
        <w:t xml:space="preserve">5.3 Professional Learning &amp; Individual Reflection</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New Knowledge Acquired:</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Practical application of JDBC and the DAO design pattern to separate business logic from database access.</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Structuring a billing calculation so that tax and discount remain transparent and auditable rather than folded into an opaque total.</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Writing testable Java classes with validation and custom exceptions for domain-specific failure conditions.</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Engineering &amp; Professional Skills Developed:</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Requirement analysis from the perspective of multiple stakeholders (billing officer, mechanic, administrator, customer).</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Structured, criteria-based evaluation of design alternatives rather than relying on an unstated preference.</w:t>
      </w:r>
    </w:p>
    <w:p>
      <w:pPr>
        <w:pStyle w:val="ListParagraph"/>
        <w:numPr>
          <w:ilvl w:val="0"/>
          <w:numId w:val="1"/>
        </w:numPr>
        <w:spacing w:after="100" w:line="276" w:lineRule="auto"/>
      </w:pPr>
      <w:r>
        <w:rPr>
          <w:rFonts w:ascii="Times New Roman" w:cs="Times New Roman" w:eastAsia="Times New Roman" w:hAnsi="Times New Roman"/>
          <w:sz w:val="24"/>
          <w:szCs w:val="24"/>
        </w:rPr>
        <w:t xml:space="preserve">Documenting risk and mitigation for a financially sensitive software component.</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Individual Reflection:</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The most difficult engineering problem I encountered while developing this module was deciding how tax should be applied within the bill-calculation formula — specifically, whether tax should be computed on the spare-parts cost alone or on the combined service-and-parts subtotal. I resolved this by reviewing how the two figures would appear on a real customer invoice and choosing the combined-subtotal approach, since it matches common GST treatment of composite service-and-goods billing and keeps the customer-facing total easy to justify. A key engineering decision I made personally was to centralise all bill calculation inside a single computeTotal() method rather than letting different parts of the module compute totals independently; the evidence behind this was the reviewed literature's lack of detail on billing logic, which suggested this was exactly the kind of inconsistency worth designing against from the start. Independently, I learned how to structure a DAO layer so that no SQL statements leak into the rest of the application, which made the stock and billing logic considerably easier to test. If I were to redesign the module, I would build in support for multiple tax slabs from the outset rather than treating it as future work, since real workshop billing is unlikely to use a single flat tax rate for every spare part.</w:t>
      </w:r>
    </w:p>
    <w:p>
      <w:r>
        <w:br w:type="page"/>
      </w:r>
    </w:p>
    <w:p>
      <w:pPr>
        <w:pStyle w:val="Heading1"/>
        <w:spacing w:after="240" w:before="200" w:line="276" w:lineRule="auto"/>
        <w:jc w:val="center"/>
      </w:pPr>
      <w:r>
        <w:rPr>
          <w:rFonts w:ascii="Times New Roman" w:cs="Times New Roman" w:eastAsia="Times New Roman" w:hAnsi="Times New Roman"/>
          <w:b/>
          <w:bCs/>
          <w:color w:val="000000"/>
          <w:sz w:val="28"/>
          <w:szCs w:val="28"/>
        </w:rPr>
        <w:t xml:space="preserve">REFERENCES</w:t>
      </w:r>
    </w:p>
    <w:p>
      <w:pPr>
        <w:spacing w:after="160" w:line="276" w:lineRule="auto"/>
        <w:jc w:val="left"/>
      </w:pPr>
      <w:r>
        <w:rPr>
          <w:rFonts w:ascii="Times New Roman" w:cs="Times New Roman" w:eastAsia="Times New Roman" w:hAnsi="Times New Roman"/>
          <w:b w:val="false"/>
          <w:bCs w:val="false"/>
          <w:i w:val="false"/>
          <w:iCs w:val="false"/>
          <w:sz w:val="24"/>
          <w:szCs w:val="24"/>
        </w:rPr>
        <w:t xml:space="preserve">[1] Kumar et al., "Smart Vehicle Service Management Using Java," 2025.</w:t>
      </w:r>
    </w:p>
    <w:p>
      <w:pPr>
        <w:spacing w:after="160" w:line="276" w:lineRule="auto"/>
        <w:jc w:val="left"/>
      </w:pPr>
      <w:r>
        <w:rPr>
          <w:rFonts w:ascii="Times New Roman" w:cs="Times New Roman" w:eastAsia="Times New Roman" w:hAnsi="Times New Roman"/>
          <w:b w:val="false"/>
          <w:bCs w:val="false"/>
          <w:i w:val="false"/>
          <w:iCs w:val="false"/>
          <w:sz w:val="24"/>
          <w:szCs w:val="24"/>
        </w:rPr>
        <w:t xml:space="preserve">[2] Patel et al., "Web-Based Automobile Service Management System," 2024.</w:t>
      </w:r>
    </w:p>
    <w:p>
      <w:pPr>
        <w:spacing w:after="160" w:line="276" w:lineRule="auto"/>
        <w:jc w:val="left"/>
      </w:pPr>
      <w:r>
        <w:rPr>
          <w:rFonts w:ascii="Times New Roman" w:cs="Times New Roman" w:eastAsia="Times New Roman" w:hAnsi="Times New Roman"/>
          <w:b w:val="false"/>
          <w:bCs w:val="false"/>
          <w:i w:val="false"/>
          <w:iCs w:val="false"/>
          <w:sz w:val="24"/>
          <w:szCs w:val="24"/>
        </w:rPr>
        <w:t xml:space="preserve">[3] Singh and Sharma, "Vehicle Workshop Management Using Object-Oriented Java," 2025.</w:t>
      </w:r>
    </w:p>
    <w:p>
      <w:pPr>
        <w:spacing w:after="160" w:line="276" w:lineRule="auto"/>
        <w:jc w:val="left"/>
      </w:pPr>
      <w:r>
        <w:rPr>
          <w:rFonts w:ascii="Times New Roman" w:cs="Times New Roman" w:eastAsia="Times New Roman" w:hAnsi="Times New Roman"/>
          <w:b w:val="false"/>
          <w:bCs w:val="false"/>
          <w:i w:val="false"/>
          <w:iCs w:val="false"/>
          <w:sz w:val="24"/>
          <w:szCs w:val="24"/>
        </w:rPr>
        <w:t xml:space="preserve">[4] Reddy et al., "Integrated Vehicle Service and Billing System," 2024.</w:t>
      </w:r>
    </w:p>
    <w:p>
      <w:pPr>
        <w:spacing w:after="160" w:line="276" w:lineRule="auto"/>
        <w:jc w:val="left"/>
      </w:pPr>
      <w:r>
        <w:rPr>
          <w:rFonts w:ascii="Times New Roman" w:cs="Times New Roman" w:eastAsia="Times New Roman" w:hAnsi="Times New Roman"/>
          <w:b w:val="false"/>
          <w:bCs w:val="false"/>
          <w:i w:val="false"/>
          <w:iCs w:val="false"/>
          <w:sz w:val="24"/>
          <w:szCs w:val="24"/>
        </w:rPr>
        <w:t xml:space="preserve">[5] Gupta et al., "Cloud-Based Vehicle Maintenance Management," 2025.</w:t>
      </w:r>
    </w:p>
    <w:p>
      <w:pPr>
        <w:spacing w:after="160" w:line="276" w:lineRule="auto"/>
        <w:jc w:val="left"/>
      </w:pPr>
      <w:r>
        <w:rPr>
          <w:rFonts w:ascii="Times New Roman" w:cs="Times New Roman" w:eastAsia="Times New Roman" w:hAnsi="Times New Roman"/>
          <w:b w:val="false"/>
          <w:bCs w:val="false"/>
          <w:i w:val="false"/>
          <w:iCs w:val="false"/>
          <w:sz w:val="24"/>
          <w:szCs w:val="24"/>
        </w:rPr>
        <w:t xml:space="preserve">[6] Rahman et al., "Smart Garage Management System Using Java," 2025.</w:t>
      </w:r>
    </w:p>
    <w:p>
      <w:pPr>
        <w:spacing w:after="160" w:line="276" w:lineRule="auto"/>
        <w:jc w:val="left"/>
      </w:pPr>
      <w:r>
        <w:rPr>
          <w:rFonts w:ascii="Times New Roman" w:cs="Times New Roman" w:eastAsia="Times New Roman" w:hAnsi="Times New Roman"/>
          <w:b w:val="false"/>
          <w:bCs w:val="false"/>
          <w:i w:val="false"/>
          <w:iCs w:val="false"/>
          <w:sz w:val="24"/>
          <w:szCs w:val="24"/>
        </w:rPr>
        <w:t xml:space="preserve">[7] Oracle, "Java Platform, Standard Edition Documentation," Oracle Corporation. [Online]. Available: Oracle Java SE documentation portal.</w:t>
      </w:r>
    </w:p>
    <w:p>
      <w:pPr>
        <w:spacing w:after="160" w:line="276" w:lineRule="auto"/>
        <w:jc w:val="left"/>
      </w:pPr>
      <w:r>
        <w:rPr>
          <w:rFonts w:ascii="Times New Roman" w:cs="Times New Roman" w:eastAsia="Times New Roman" w:hAnsi="Times New Roman"/>
          <w:b w:val="false"/>
          <w:bCs w:val="false"/>
          <w:i w:val="false"/>
          <w:iCs w:val="false"/>
          <w:sz w:val="24"/>
          <w:szCs w:val="24"/>
        </w:rPr>
        <w:t xml:space="preserve">[8] IEEE, "IEEE Recommended Practice for Software Requirements Specifications," IEEE Std 830-1998.</w:t>
      </w:r>
    </w:p>
    <w:p>
      <w:pPr>
        <w:spacing w:after="160" w:line="276" w:lineRule="auto"/>
        <w:jc w:val="left"/>
      </w:pPr>
      <w:r>
        <w:rPr>
          <w:rFonts w:ascii="Times New Roman" w:cs="Times New Roman" w:eastAsia="Times New Roman" w:hAnsi="Times New Roman"/>
          <w:b w:val="false"/>
          <w:bCs w:val="false"/>
          <w:i w:val="false"/>
          <w:iCs w:val="false"/>
          <w:sz w:val="24"/>
          <w:szCs w:val="24"/>
        </w:rPr>
        <w:t xml:space="preserve">[9] Oracle, "MySQL 8.0 Reference Manual," Oracle Corporation. [Online]. Available: MySQL documentation portal.</w:t>
      </w:r>
    </w:p>
    <w:p>
      <w:pPr>
        <w:spacing w:after="160" w:line="276" w:lineRule="auto"/>
        <w:jc w:val="left"/>
      </w:pPr>
      <w:r>
        <w:rPr>
          <w:rFonts w:ascii="Times New Roman" w:cs="Times New Roman" w:eastAsia="Times New Roman" w:hAnsi="Times New Roman"/>
          <w:b w:val="false"/>
          <w:bCs w:val="false"/>
          <w:i w:val="false"/>
          <w:iCs w:val="false"/>
          <w:sz w:val="24"/>
          <w:szCs w:val="24"/>
        </w:rPr>
        <w:t xml:space="preserve">Project team slide deck: "CSA-0911 – Smart Vehicle Service Management System Using Java," Team 10 capstone presentation, 2026 (source of module scope, methodology and architecture diagram referenced in this report).</w:t>
      </w:r>
    </w:p>
    <w:p>
      <w:r>
        <w:br w:type="page"/>
      </w:r>
    </w:p>
    <w:p>
      <w:pPr>
        <w:pStyle w:val="Heading1"/>
        <w:spacing w:after="240" w:before="200" w:line="276" w:lineRule="auto"/>
        <w:jc w:val="center"/>
      </w:pPr>
      <w:r>
        <w:rPr>
          <w:rFonts w:ascii="Times New Roman" w:cs="Times New Roman" w:eastAsia="Times New Roman" w:hAnsi="Times New Roman"/>
          <w:b/>
          <w:bCs/>
          <w:color w:val="000000"/>
          <w:sz w:val="28"/>
          <w:szCs w:val="28"/>
        </w:rPr>
        <w:t xml:space="preserve">APPENDICES</w:t>
      </w:r>
    </w:p>
    <w:p>
      <w:pPr>
        <w:pStyle w:val="Heading2"/>
        <w:spacing w:after="160" w:before="240" w:line="276" w:lineRule="auto"/>
      </w:pPr>
      <w:r>
        <w:rPr>
          <w:rFonts w:ascii="Times New Roman" w:cs="Times New Roman" w:eastAsia="Times New Roman" w:hAnsi="Times New Roman"/>
          <w:b/>
          <w:bCs/>
          <w:color w:val="000000"/>
          <w:sz w:val="28"/>
          <w:szCs w:val="28"/>
        </w:rPr>
        <w:t xml:space="preserve">Appendix A – Detailed Calculations</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Worked example of the bill-calculation formula (Section 3.5):</w:t>
      </w:r>
    </w:p>
    <w:p>
      <w:pPr>
        <w:spacing w:after="160" w:line="276" w:lineRule="auto"/>
        <w:jc w:val="left"/>
      </w:pPr>
      <w:r>
        <w:rPr>
          <w:rFonts w:ascii="Times New Roman" w:cs="Times New Roman" w:eastAsia="Times New Roman" w:hAnsi="Times New Roman"/>
          <w:b w:val="false"/>
          <w:bCs w:val="false"/>
          <w:i w:val="false"/>
          <w:iCs w:val="false"/>
          <w:sz w:val="24"/>
          <w:szCs w:val="24"/>
        </w:rPr>
        <w:t xml:space="preserve">Service charge = ₹800.00; Spare-parts cost = ₹1,450.00; Subtotal = ₹2,250.00; Tax = 18% of Subtotal = ₹405.00; Discount = ₹150.00.</w:t>
      </w:r>
    </w:p>
    <w:p>
      <w:pPr>
        <w:spacing w:after="160" w:line="276" w:lineRule="auto"/>
        <w:jc w:val="left"/>
      </w:pPr>
      <w:r>
        <w:rPr>
          <w:rFonts w:ascii="Times New Roman" w:cs="Times New Roman" w:eastAsia="Times New Roman" w:hAnsi="Times New Roman"/>
          <w:b w:val="false"/>
          <w:bCs w:val="false"/>
          <w:i w:val="false"/>
          <w:iCs w:val="false"/>
          <w:sz w:val="24"/>
          <w:szCs w:val="24"/>
        </w:rPr>
        <w:t xml:space="preserve">Total Payable = Subtotal + Tax − Discount = ₹2,250.00 + ₹405.00 − ₹150.00 = ₹2,505.00.</w:t>
      </w:r>
    </w:p>
    <w:p>
      <w:pPr>
        <w:pStyle w:val="Heading2"/>
        <w:spacing w:after="160" w:before="240" w:line="276" w:lineRule="auto"/>
      </w:pPr>
      <w:r>
        <w:rPr>
          <w:rFonts w:ascii="Times New Roman" w:cs="Times New Roman" w:eastAsia="Times New Roman" w:hAnsi="Times New Roman"/>
          <w:b/>
          <w:bCs/>
          <w:color w:val="000000"/>
          <w:sz w:val="28"/>
          <w:szCs w:val="28"/>
        </w:rPr>
        <w:t xml:space="preserve">Appendix B – Engineering Drawings / Schematics</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The system architecture diagram relevant to Module 3 is presented as Figure 3.1 in Chapter 3 (Section 3.5).</w:t>
      </w:r>
    </w:p>
    <w:p>
      <w:pPr>
        <w:pStyle w:val="Heading2"/>
        <w:spacing w:after="160" w:before="240" w:line="276" w:lineRule="auto"/>
      </w:pPr>
      <w:r>
        <w:rPr>
          <w:rFonts w:ascii="Times New Roman" w:cs="Times New Roman" w:eastAsia="Times New Roman" w:hAnsi="Times New Roman"/>
          <w:b/>
          <w:bCs/>
          <w:color w:val="000000"/>
          <w:sz w:val="28"/>
          <w:szCs w:val="28"/>
        </w:rPr>
        <w:t xml:space="preserve">Appendix C – Source Code / Code Repository Information</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Representative excerpt of the bill-calculation method (illustrative; complete source is maintained in the module's project repository):</w:t>
      </w:r>
    </w:p>
    <w:p>
      <w:pPr>
        <w:spacing w:after="20" w:line="240" w:lineRule="auto"/>
      </w:pPr>
      <w:r>
        <w:rPr>
          <w:rFonts w:ascii="Courier New" w:cs="Courier New" w:eastAsia="Courier New" w:hAnsi="Courier New"/>
          <w:sz w:val="20"/>
          <w:szCs w:val="20"/>
        </w:rPr>
        <w:t xml:space="preserve">public double computeTotal() {</w:t>
      </w:r>
    </w:p>
    <w:p>
      <w:pPr>
        <w:spacing w:after="20" w:line="240" w:lineRule="auto"/>
      </w:pPr>
      <w:r>
        <w:rPr>
          <w:rFonts w:ascii="Courier New" w:cs="Courier New" w:eastAsia="Courier New" w:hAnsi="Courier New"/>
          <w:sz w:val="20"/>
          <w:szCs w:val="20"/>
        </w:rPr>
        <w:t xml:space="preserve">    double subtotal = this.serviceCharge + this.partsCost;</w:t>
      </w:r>
    </w:p>
    <w:p>
      <w:pPr>
        <w:spacing w:after="20" w:line="240" w:lineRule="auto"/>
      </w:pPr>
      <w:r>
        <w:rPr>
          <w:rFonts w:ascii="Courier New" w:cs="Courier New" w:eastAsia="Courier New" w:hAnsi="Courier New"/>
          <w:sz w:val="20"/>
          <w:szCs w:val="20"/>
        </w:rPr>
        <w:t xml:space="preserve">    double tax = subtotal * (this.taxRate / 100.0);</w:t>
      </w:r>
    </w:p>
    <w:p>
      <w:pPr>
        <w:spacing w:after="20" w:line="240" w:lineRule="auto"/>
      </w:pPr>
      <w:r>
        <w:rPr>
          <w:rFonts w:ascii="Courier New" w:cs="Courier New" w:eastAsia="Courier New" w:hAnsi="Courier New"/>
          <w:sz w:val="20"/>
          <w:szCs w:val="20"/>
        </w:rPr>
        <w:t xml:space="preserve">    double total = subtotal + tax - this.discount;</w:t>
      </w:r>
    </w:p>
    <w:p>
      <w:pPr>
        <w:spacing w:after="20" w:line="240" w:lineRule="auto"/>
      </w:pPr>
      <w:r>
        <w:rPr>
          <w:rFonts w:ascii="Courier New" w:cs="Courier New" w:eastAsia="Courier New" w:hAnsi="Courier New"/>
          <w:sz w:val="20"/>
          <w:szCs w:val="20"/>
        </w:rPr>
        <w:t xml:space="preserve">    if (total &lt; 0) {</w:t>
      </w:r>
    </w:p>
    <w:p>
      <w:pPr>
        <w:spacing w:after="20" w:line="240" w:lineRule="auto"/>
      </w:pPr>
      <w:r>
        <w:rPr>
          <w:rFonts w:ascii="Courier New" w:cs="Courier New" w:eastAsia="Courier New" w:hAnsi="Courier New"/>
          <w:sz w:val="20"/>
          <w:szCs w:val="20"/>
        </w:rPr>
        <w:t xml:space="preserve">        throw new IllegalArgumentException("Discount exceeds payable subtotal");</w:t>
      </w:r>
    </w:p>
    <w:p>
      <w:pPr>
        <w:spacing w:after="20" w:line="240" w:lineRule="auto"/>
      </w:pPr>
      <w:r>
        <w:rPr>
          <w:rFonts w:ascii="Courier New" w:cs="Courier New" w:eastAsia="Courier New" w:hAnsi="Courier New"/>
          <w:sz w:val="20"/>
          <w:szCs w:val="20"/>
        </w:rPr>
        <w:t xml:space="preserve">    }</w:t>
      </w:r>
    </w:p>
    <w:p>
      <w:pPr>
        <w:spacing w:after="20" w:line="240" w:lineRule="auto"/>
      </w:pPr>
      <w:r>
        <w:rPr>
          <w:rFonts w:ascii="Courier New" w:cs="Courier New" w:eastAsia="Courier New" w:hAnsi="Courier New"/>
          <w:sz w:val="20"/>
          <w:szCs w:val="20"/>
        </w:rPr>
        <w:t xml:space="preserve">    return total;</w:t>
      </w:r>
    </w:p>
    <w:p>
      <w:pPr>
        <w:spacing w:after="20" w:line="240" w:lineRule="auto"/>
      </w:pPr>
      <w:r>
        <w:rPr>
          <w:rFonts w:ascii="Courier New" w:cs="Courier New" w:eastAsia="Courier New" w:hAnsi="Courier New"/>
          <w:sz w:val="20"/>
          <w:szCs w:val="20"/>
        </w:rPr>
        <w:t xml:space="preserve">}</w:t>
      </w:r>
    </w:p>
    <w:p>
      <w:pPr>
        <w:spacing w:after="160"/>
      </w:pPr>
    </w:p>
    <w:p>
      <w:pPr>
        <w:pStyle w:val="Heading2"/>
        <w:spacing w:after="160" w:before="240" w:line="276" w:lineRule="auto"/>
      </w:pPr>
      <w:r>
        <w:rPr>
          <w:rFonts w:ascii="Times New Roman" w:cs="Times New Roman" w:eastAsia="Times New Roman" w:hAnsi="Times New Roman"/>
          <w:b/>
          <w:bCs/>
          <w:color w:val="000000"/>
          <w:sz w:val="28"/>
          <w:szCs w:val="28"/>
        </w:rPr>
        <w:t xml:space="preserve">Appendix D – Datasheets</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Not applicable to this software module.</w:t>
      </w:r>
    </w:p>
    <w:p>
      <w:pPr>
        <w:pStyle w:val="Heading2"/>
        <w:spacing w:after="160" w:before="240" w:line="276" w:lineRule="auto"/>
      </w:pPr>
      <w:r>
        <w:rPr>
          <w:rFonts w:ascii="Times New Roman" w:cs="Times New Roman" w:eastAsia="Times New Roman" w:hAnsi="Times New Roman"/>
          <w:b/>
          <w:bCs/>
          <w:color w:val="000000"/>
          <w:sz w:val="28"/>
          <w:szCs w:val="28"/>
        </w:rPr>
        <w:t xml:space="preserve">Appendix E – Experimental / Raw Data</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Sample spare-parts record used during testing: Part ID SP-101, Name "Brake Pad Set," Price ₹950.00, Supplier "AutoParts Chennai," Quantity 12, Reorder Threshold 5.</w:t>
      </w:r>
    </w:p>
    <w:p>
      <w:pPr>
        <w:pStyle w:val="Heading2"/>
        <w:spacing w:after="160" w:before="240" w:line="276" w:lineRule="auto"/>
      </w:pPr>
      <w:r>
        <w:rPr>
          <w:rFonts w:ascii="Times New Roman" w:cs="Times New Roman" w:eastAsia="Times New Roman" w:hAnsi="Times New Roman"/>
          <w:b/>
          <w:bCs/>
          <w:color w:val="000000"/>
          <w:sz w:val="28"/>
          <w:szCs w:val="28"/>
        </w:rPr>
        <w:t xml:space="preserve">Appendix F – Ethics / Institutional Approval</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Not applicable — this module does not involve human-subject data collection or experimentation requiring institutional ethics approval.</w:t>
      </w:r>
    </w:p>
    <w:p>
      <w:pPr>
        <w:pStyle w:val="Heading2"/>
        <w:spacing w:after="160" w:before="240" w:line="276" w:lineRule="auto"/>
      </w:pPr>
      <w:r>
        <w:rPr>
          <w:rFonts w:ascii="Times New Roman" w:cs="Times New Roman" w:eastAsia="Times New Roman" w:hAnsi="Times New Roman"/>
          <w:b/>
          <w:bCs/>
          <w:color w:val="000000"/>
          <w:sz w:val="28"/>
          <w:szCs w:val="28"/>
        </w:rPr>
        <w:t xml:space="preserve">Appendix G – Project Meeting / Progress Records</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Module design and progress were reviewed with the course faculty, Dr. Thalapathi Rajasekaran R, at the milestones listed in Table 4.5 (Section 4.8).</w:t>
      </w:r>
    </w:p>
    <w:p>
      <w:pPr>
        <w:pStyle w:val="Heading2"/>
        <w:spacing w:after="160" w:before="240" w:line="276" w:lineRule="auto"/>
      </w:pPr>
      <w:r>
        <w:rPr>
          <w:rFonts w:ascii="Times New Roman" w:cs="Times New Roman" w:eastAsia="Times New Roman" w:hAnsi="Times New Roman"/>
          <w:b/>
          <w:bCs/>
          <w:color w:val="000000"/>
          <w:sz w:val="28"/>
          <w:szCs w:val="28"/>
        </w:rPr>
        <w:t xml:space="preserve">Appendix H – User/Industry Feedback</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Not applicable at this stage of the module's development.</w:t>
      </w:r>
    </w:p>
    <w:p>
      <w:pPr>
        <w:pStyle w:val="Heading2"/>
        <w:spacing w:after="160" w:before="240" w:line="276" w:lineRule="auto"/>
      </w:pPr>
      <w:r>
        <w:rPr>
          <w:rFonts w:ascii="Times New Roman" w:cs="Times New Roman" w:eastAsia="Times New Roman" w:hAnsi="Times New Roman"/>
          <w:b/>
          <w:bCs/>
          <w:color w:val="000000"/>
          <w:sz w:val="28"/>
          <w:szCs w:val="28"/>
        </w:rPr>
        <w:t xml:space="preserve">Appendix I – Publications / Patents / Competitions / Product Outcomes</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Not applicable.</w:t>
      </w:r>
    </w:p>
    <w:p>
      <w:pPr>
        <w:pStyle w:val="Heading2"/>
        <w:spacing w:after="160" w:before="240" w:line="276" w:lineRule="auto"/>
      </w:pPr>
      <w:r>
        <w:rPr>
          <w:rFonts w:ascii="Times New Roman" w:cs="Times New Roman" w:eastAsia="Times New Roman" w:hAnsi="Times New Roman"/>
          <w:b/>
          <w:bCs/>
          <w:color w:val="000000"/>
          <w:sz w:val="28"/>
          <w:szCs w:val="28"/>
        </w:rPr>
        <w:t xml:space="preserve">Appendix J – Individual Contribution Evidence</w:t>
      </w:r>
    </w:p>
    <w:p>
      <w:pPr>
        <w:spacing w:after="160" w:line="276" w:lineRule="auto"/>
        <w:jc w:val="both"/>
      </w:pPr>
      <w:r>
        <w:rPr>
          <w:rFonts w:ascii="Times New Roman" w:cs="Times New Roman" w:eastAsia="Times New Roman" w:hAnsi="Times New Roman"/>
          <w:b w:val="false"/>
          <w:bCs w:val="false"/>
          <w:i w:val="false"/>
          <w:iCs w:val="false"/>
          <w:sz w:val="24"/>
          <w:szCs w:val="24"/>
        </w:rPr>
        <w:t xml:space="preserve">See the Individual Contribution Statement presented in the front matter of this report, which documents M. Bhavesh's sole responsibility for the design, implementation, testing and reporting of Module 3.</w:t>
      </w:r>
    </w:p>
    <w:p>
      <w:r>
        <w:br w:type="page"/>
      </w:r>
    </w:p>
    <w:p>
      <w:pPr>
        <w:pStyle w:val="Heading1"/>
        <w:spacing w:after="240" w:before="200" w:line="276" w:lineRule="auto"/>
        <w:jc w:val="center"/>
      </w:pPr>
      <w:r>
        <w:rPr>
          <w:rFonts w:ascii="Times New Roman" w:cs="Times New Roman" w:eastAsia="Times New Roman" w:hAnsi="Times New Roman"/>
          <w:b/>
          <w:bCs/>
          <w:color w:val="000000"/>
          <w:sz w:val="28"/>
          <w:szCs w:val="28"/>
        </w:rPr>
        <w:t xml:space="preserve">CAPSTONE PROJECT OUTCOME MAPPING SHEET</w:t>
      </w:r>
    </w:p>
    <w:p>
      <w:pPr>
        <w:spacing w:after="160" w:line="276" w:lineRule="auto"/>
        <w:jc w:val="both"/>
      </w:pPr>
      <w:r>
        <w:rPr>
          <w:rFonts w:ascii="Times New Roman" w:cs="Times New Roman" w:eastAsia="Times New Roman" w:hAnsi="Times New Roman"/>
          <w:b w:val="false"/>
          <w:bCs w:val="false"/>
          <w:i/>
          <w:iCs/>
          <w:sz w:val="24"/>
          <w:szCs w:val="24"/>
        </w:rPr>
        <w:t xml:space="preserve">To be completed by the department/faculty assessor.</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335"/>
        <w:gridCol w:w="1569"/>
        <w:gridCol w:w="4120"/>
      </w:tblGrid>
      <w:tr>
        <w:trPr>
          <w:cantSplit/>
          <w:tblHeader/>
        </w:trPr>
        <w:tc>
          <w:tcPr>
            <w:tcW w:type="dxa" w:w="3335"/>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Outcome Evidence</w:t>
            </w:r>
          </w:p>
        </w:tc>
        <w:tc>
          <w:tcPr>
            <w:tcW w:type="dxa" w:w="1569"/>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SO / Area</w:t>
            </w:r>
          </w:p>
        </w:tc>
        <w:tc>
          <w:tcPr>
            <w:tcW w:type="dxa" w:w="4120"/>
            <w:shd w:fill="D9E2F3" w:color="auto" w:val="clear"/>
            <w:tcMar>
              <w:top w:type="dxa" w:w="80"/>
              <w:left w:type="dxa" w:w="100"/>
              <w:bottom w:type="dxa" w:w="80"/>
              <w:right w:type="dxa" w:w="100"/>
            </w:tcMar>
            <w:vAlign w:val="center"/>
          </w:tcPr>
          <w:p>
            <w:pPr>
              <w:spacing w:line="264" w:lineRule="auto"/>
              <w:jc w:val="center"/>
            </w:pPr>
            <w:r>
              <w:rPr>
                <w:rFonts w:ascii="Times New Roman" w:cs="Times New Roman" w:eastAsia="Times New Roman" w:hAnsi="Times New Roman"/>
                <w:b/>
                <w:bCs/>
                <w:sz w:val="20"/>
                <w:szCs w:val="20"/>
              </w:rPr>
              <w:t xml:space="preserve">Location in This Report</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Complex engineering problem formulation</w:t>
            </w:r>
          </w:p>
        </w:tc>
        <w:tc>
          <w:tcPr>
            <w:tcW w:type="dxa" w:w="1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SO1</w:t>
            </w:r>
          </w:p>
        </w:tc>
        <w:tc>
          <w:tcPr>
            <w:tcW w:type="dxa" w:w="41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Ch. 1, Ch. 2</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Engineering design under constraints</w:t>
            </w:r>
          </w:p>
        </w:tc>
        <w:tc>
          <w:tcPr>
            <w:tcW w:type="dxa" w:w="1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SO2</w:t>
            </w:r>
          </w:p>
        </w:tc>
        <w:tc>
          <w:tcPr>
            <w:tcW w:type="dxa" w:w="41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Ch. 3</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Written/oral technical communication</w:t>
            </w:r>
          </w:p>
        </w:tc>
        <w:tc>
          <w:tcPr>
            <w:tcW w:type="dxa" w:w="1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SO3</w:t>
            </w:r>
          </w:p>
        </w:tc>
        <w:tc>
          <w:tcPr>
            <w:tcW w:type="dxa" w:w="41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Whole report</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Ethics and professional responsibility</w:t>
            </w:r>
          </w:p>
        </w:tc>
        <w:tc>
          <w:tcPr>
            <w:tcW w:type="dxa" w:w="1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SO4</w:t>
            </w:r>
          </w:p>
        </w:tc>
        <w:tc>
          <w:tcPr>
            <w:tcW w:type="dxa" w:w="41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Ch. 3 (3.7)</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Teamwork and leadership</w:t>
            </w:r>
          </w:p>
        </w:tc>
        <w:tc>
          <w:tcPr>
            <w:tcW w:type="dxa" w:w="1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SO5</w:t>
            </w:r>
          </w:p>
        </w:tc>
        <w:tc>
          <w:tcPr>
            <w:tcW w:type="dxa" w:w="41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Individual Contribution Statement; Ch. 4 (4.8)</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Experimentation, analysis, engineering judgment</w:t>
            </w:r>
          </w:p>
        </w:tc>
        <w:tc>
          <w:tcPr>
            <w:tcW w:type="dxa" w:w="1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SO6</w:t>
            </w:r>
          </w:p>
        </w:tc>
        <w:tc>
          <w:tcPr>
            <w:tcW w:type="dxa" w:w="41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Ch. 4 (4.3–4.6)</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Independent acquisition of new knowledge</w:t>
            </w:r>
          </w:p>
        </w:tc>
        <w:tc>
          <w:tcPr>
            <w:tcW w:type="dxa" w:w="1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SO7</w:t>
            </w:r>
          </w:p>
        </w:tc>
        <w:tc>
          <w:tcPr>
            <w:tcW w:type="dxa" w:w="41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Ch. 5 (5.3)</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Standards</w:t>
            </w:r>
          </w:p>
        </w:tc>
        <w:tc>
          <w:tcPr>
            <w:tcW w:type="dxa" w:w="1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SO2</w:t>
            </w:r>
          </w:p>
        </w:tc>
        <w:tc>
          <w:tcPr>
            <w:tcW w:type="dxa" w:w="41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Ch. 3 (3.2)</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Sustainability and societal/environmental impact</w:t>
            </w:r>
          </w:p>
        </w:tc>
        <w:tc>
          <w:tcPr>
            <w:tcW w:type="dxa" w:w="1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SO2/SO4</w:t>
            </w:r>
          </w:p>
        </w:tc>
        <w:tc>
          <w:tcPr>
            <w:tcW w:type="dxa" w:w="41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Ch. 3 (3.7)</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Risk assessment and mitigation</w:t>
            </w:r>
          </w:p>
        </w:tc>
        <w:tc>
          <w:tcPr>
            <w:tcW w:type="dxa" w:w="1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SO2/SO4</w:t>
            </w:r>
          </w:p>
        </w:tc>
        <w:tc>
          <w:tcPr>
            <w:tcW w:type="dxa" w:w="41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Ch. 3 (3.7)</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Security considerations</w:t>
            </w:r>
          </w:p>
        </w:tc>
        <w:tc>
          <w:tcPr>
            <w:tcW w:type="dxa" w:w="1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Relevant SO</w:t>
            </w:r>
          </w:p>
        </w:tc>
        <w:tc>
          <w:tcPr>
            <w:tcW w:type="dxa" w:w="41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Ch. 3 (3.7)</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Integrated/system-level engineering</w:t>
            </w:r>
          </w:p>
        </w:tc>
        <w:tc>
          <w:tcPr>
            <w:tcW w:type="dxa" w:w="1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SO1/SO2</w:t>
            </w:r>
          </w:p>
        </w:tc>
        <w:tc>
          <w:tcPr>
            <w:tcW w:type="dxa" w:w="41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Ch. 3 (3.5)</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Project planning and management</w:t>
            </w:r>
          </w:p>
        </w:tc>
        <w:tc>
          <w:tcPr>
            <w:tcW w:type="dxa" w:w="1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SO5</w:t>
            </w:r>
          </w:p>
        </w:tc>
        <w:tc>
          <w:tcPr>
            <w:tcW w:type="dxa" w:w="41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Ch. 4 (4.8)</w:t>
            </w:r>
          </w:p>
        </w:tc>
      </w:tr>
      <w:tr>
        <w:trPr>
          <w:cantSplit/>
        </w:trPr>
        <w:tc>
          <w:tcPr>
            <w:tcW w:type="dxa" w:w="3335"/>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Individual contribution</w:t>
            </w:r>
          </w:p>
        </w:tc>
        <w:tc>
          <w:tcPr>
            <w:tcW w:type="dxa" w:w="1569"/>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SO1–SO7</w:t>
            </w:r>
          </w:p>
        </w:tc>
        <w:tc>
          <w:tcPr>
            <w:tcW w:type="dxa" w:w="4120"/>
            <w:tcMar>
              <w:top w:type="dxa" w:w="80"/>
              <w:left w:type="dxa" w:w="100"/>
              <w:bottom w:type="dxa" w:w="80"/>
              <w:right w:type="dxa" w:w="100"/>
            </w:tcMar>
            <w:vAlign w:val="center"/>
          </w:tcPr>
          <w:p>
            <w:pPr>
              <w:spacing w:line="264" w:lineRule="auto"/>
              <w:jc w:val="left"/>
            </w:pPr>
            <w:r>
              <w:rPr>
                <w:rFonts w:ascii="Times New Roman" w:cs="Times New Roman" w:eastAsia="Times New Roman" w:hAnsi="Times New Roman"/>
                <w:b w:val="false"/>
                <w:bCs w:val="false"/>
                <w:sz w:val="20"/>
                <w:szCs w:val="20"/>
              </w:rPr>
              <w:t xml:space="preserve">Individual Contribution Statement; Ch. 4 (4.8)</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6"/>
        <w:szCs w:val="16"/>
      </w:rPr>
      <w:t xml:space="preserve">Module 3 – Spare Parts Inventory and Billing Management | M. Bhavesh (192572024)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rFonts w:ascii="Times New Roman" w:cs="Times New Roman" w:eastAsia="Times New Roman" w:hAnsi="Times New Roman"/>
      <w:b/>
      <w:bCs/>
      <w:i/>
      <w:iCs/>
      <w:color w:val="000000"/>
      <w:sz w:val="24"/>
      <w:szCs w:val="24"/>
    </w:rPr>
  </w:style>
  <w:style w:type="paragraph" w:styleId="TOC1">
    <w:name w:val="TOC 1"/>
    <w:basedOn w:val="Normal"/>
    <w:next w:val="Normal"/>
    <w:rPr>
      <w:rFonts w:ascii="Times New Roman" w:cs="Times New Roman" w:eastAsia="Times New Roman" w:hAnsi="Times New Roman"/>
      <w:color w:val="000000"/>
      <w:sz w:val="24"/>
      <w:szCs w:val="24"/>
    </w:rPr>
  </w:style>
  <w:style w:type="paragraph" w:styleId="TOC2">
    <w:name w:val="TOC 2"/>
    <w:basedOn w:val="Normal"/>
    <w:next w:val="Normal"/>
    <w:rPr>
      <w:rFonts w:ascii="Times New Roman" w:cs="Times New Roman" w:eastAsia="Times New Roman" w:hAnsi="Times New Roman"/>
      <w:color w:val="000000"/>
      <w:sz w:val="24"/>
      <w:szCs w:val="24"/>
    </w:rPr>
  </w:style>
  <w:style w:type="paragraph" w:styleId="TOC3">
    <w:name w:val="TOC 3"/>
    <w:basedOn w:val="Normal"/>
    <w:next w:val="Normal"/>
    <w:rPr>
      <w:rFonts w:ascii="Times New Roman" w:cs="Times New Roman" w:eastAsia="Times New Roman" w:hAnsi="Times New Roman"/>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7282146a13035ca6aaae12e53ccf4457ae803c.png"/><Relationship Id="rId10" Type="http://schemas.openxmlformats.org/officeDocument/2006/relationships/image" Target="media/e707bcb5c56698bcee95a4b275a16298222acc6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 Spare Parts Inventory and Billing Management</dc:title>
  <dc:creator>M. Bhavesh</dc:creator>
  <cp:lastModifiedBy>Un-named</cp:lastModifiedBy>
  <cp:revision>1</cp:revision>
  <dcterms:created xsi:type="dcterms:W3CDTF">2026-09-03T08:17:15.803Z</dcterms:created>
  <dcterms:modified xsi:type="dcterms:W3CDTF">2026-09-03T08:17:15.803Z</dcterms:modified>
</cp:coreProperties>
</file>

<file path=docProps/custom.xml><?xml version="1.0" encoding="utf-8"?>
<Properties xmlns="http://schemas.openxmlformats.org/officeDocument/2006/custom-properties" xmlns:vt="http://schemas.openxmlformats.org/officeDocument/2006/docPropsVTypes"/>
</file>