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Memorandum – Project Kaveri</w:t>
      </w:r>
    </w:p>
    <w:p>
      <w:r>
        <w:t>Prepared for prospective investors in the proposed NCD issue of Kaveri Precision Components Private Limited.</w:t>
      </w:r>
    </w:p>
    <w:p>
      <w:pPr>
        <w:pStyle w:val="Heading2"/>
      </w:pPr>
      <w:r>
        <w:t>Company overview</w:t>
      </w:r>
    </w:p>
    <w:p>
      <w:pPr>
        <w:pStyle w:val="Heading3"/>
      </w:pPr>
      <w:r>
        <w:t>History</w:t>
      </w:r>
    </w:p>
    <w:p>
      <w:r>
        <w:t>Kaveri Precision Components Private Limited (CIN U29253MH2011PTC215478) was incorporated in 2011 and manufactures precision machined components for two-wheeler and tractor OEMs from plants at Chakan and Hosur.</w:t>
      </w:r>
    </w:p>
    <w:p>
      <w:pPr>
        <w:pStyle w:val="Heading3"/>
      </w:pPr>
      <w:r>
        <w:t>Operations</w:t>
      </w:r>
    </w:p>
    <w:p>
      <w:r>
        <w:t>The Company operates 146 CNC machining centres and employs 1,240 people. Its top five customers contributed 61% of FY24 revenue.</w:t>
      </w:r>
    </w:p>
    <w:p>
      <w:pPr>
        <w:pStyle w:val="Heading2"/>
      </w:pPr>
      <w:r>
        <w:t>Shareholding</w:t>
      </w:r>
    </w:p>
    <w:p>
      <w:r>
        <w:t>The cap table below is on a fully diluted basis, including the ESOP pool and the Series A compulsorily convertible preference shares.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Shareholding pattern as at 31 March 2024 (fully diluted)</w:t>
            </w:r>
          </w:p>
        </w:tc>
      </w:tr>
      <w:tr>
        <w:tc>
          <w:tcPr>
            <w:tcW w:type="dxa" w:w="2160"/>
          </w:tcPr>
          <w:p>
            <w:r>
              <w:t>Shareholder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No. of shares</w:t>
            </w:r>
          </w:p>
        </w:tc>
        <w:tc>
          <w:tcPr>
            <w:tcW w:type="dxa" w:w="2160"/>
          </w:tcPr>
          <w:p>
            <w:r>
              <w:t>% holding</w:t>
            </w:r>
          </w:p>
        </w:tc>
      </w:tr>
      <w:tr>
        <w:tc>
          <w:tcPr>
            <w:tcW w:type="dxa" w:w="2160"/>
          </w:tcPr>
          <w:p>
            <w:r>
              <w:t>Raghunathan Family Trust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1,32,00,000</w:t>
            </w:r>
          </w:p>
        </w:tc>
        <w:tc>
          <w:tcPr>
            <w:tcW w:type="dxa" w:w="2160"/>
          </w:tcPr>
          <w:p>
            <w:r>
              <w:t>55.00%</w:t>
            </w:r>
          </w:p>
        </w:tc>
      </w:tr>
      <w:tr>
        <w:tc>
          <w:tcPr>
            <w:tcW w:type="dxa" w:w="2160"/>
          </w:tcPr>
          <w:p>
            <w:r>
              <w:t>Meera Raghunathan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24,00,000</w:t>
            </w:r>
          </w:p>
        </w:tc>
        <w:tc>
          <w:tcPr>
            <w:tcW w:type="dxa" w:w="2160"/>
          </w:tcPr>
          <w:p>
            <w:r>
              <w:t>10.00%</w:t>
            </w:r>
          </w:p>
        </w:tc>
      </w:tr>
      <w:tr>
        <w:tc>
          <w:tcPr>
            <w:tcW w:type="dxa" w:w="2160"/>
          </w:tcPr>
          <w:p>
            <w:r>
              <w:t>Deccan Growth Fund II</w:t>
            </w:r>
          </w:p>
        </w:tc>
        <w:tc>
          <w:tcPr>
            <w:tcW w:type="dxa" w:w="2160"/>
          </w:tcPr>
          <w:p>
            <w:r>
              <w:t>CCPS Series A</w:t>
            </w:r>
          </w:p>
        </w:tc>
        <w:tc>
          <w:tcPr>
            <w:tcW w:type="dxa" w:w="2160"/>
          </w:tcPr>
          <w:p>
            <w:r>
              <w:t>60,00,000</w:t>
            </w:r>
          </w:p>
        </w:tc>
        <w:tc>
          <w:tcPr>
            <w:tcW w:type="dxa" w:w="2160"/>
          </w:tcPr>
          <w:p>
            <w:r>
              <w:t>25.00%</w:t>
            </w:r>
          </w:p>
        </w:tc>
      </w:tr>
      <w:tr>
        <w:tc>
          <w:tcPr>
            <w:tcW w:type="dxa" w:w="2160"/>
          </w:tcPr>
          <w:p>
            <w:r>
              <w:t>ESOP pool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12,00,000</w:t>
            </w:r>
          </w:p>
        </w:tc>
        <w:tc>
          <w:tcPr>
            <w:tcW w:type="dxa" w:w="2160"/>
          </w:tcPr>
          <w:p>
            <w:r>
              <w:t>5.00%</w:t>
            </w:r>
          </w:p>
        </w:tc>
      </w:tr>
      <w:tr>
        <w:tc>
          <w:tcPr>
            <w:tcW w:type="dxa" w:w="2160"/>
          </w:tcPr>
          <w:p>
            <w:r>
              <w:t>Others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12,00,000</w:t>
            </w:r>
          </w:p>
        </w:tc>
        <w:tc>
          <w:tcPr>
            <w:tcW w:type="dxa" w:w="2160"/>
          </w:tcPr>
          <w:p>
            <w:r>
              <w:t>5.00%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2,40,00,000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</w:tbl>
    <w:p>
      <w:pPr>
        <w:pStyle w:val="Heading2"/>
      </w:pPr>
      <w:r>
        <w:t>Financial highlights</w:t>
      </w:r>
    </w:p>
    <w:p>
      <w:r>
        <w:t>In FY24 revenue from operations was ₹412.38 crore and EBITDA was ₹68.15 crore (16.5% margin). Net debt as at 31 March 2024 was ₹96.40 crore.</w:t>
      </w:r>
    </w:p>
    <w:p>
      <w:pPr>
        <w:pStyle w:val="Heading2"/>
      </w:pPr>
      <w:r>
        <w:t>Proposed transaction</w:t>
      </w:r>
    </w:p>
    <w:p>
      <w:pPr>
        <w:pStyle w:val="Heading3"/>
      </w:pPr>
      <w:r>
        <w:t>Use of proceeds</w:t>
      </w:r>
    </w:p>
    <w:p>
      <w:r>
        <w:t>The INR 150 crore NCD issue will refinance existing term loans and fund the new machining line at Hosur.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