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Share Purchase Agreement (draft for discussion)</w:t>
      </w:r>
    </w:p>
    <w:p>
      <w:pPr>
        <w:pStyle w:val="Heading1"/>
      </w:pPr>
      <w:r>
        <w:t>1. Definitions</w:t>
      </w:r>
    </w:p>
    <w:p>
      <w:r>
        <w:t>Business Day means a day on which scheduled banks are open in Chennai and Mumbai. Completion means completion of the sale and purchase of the Sale Shares.</w:t>
      </w:r>
    </w:p>
    <w:p>
      <w:pPr>
        <w:pStyle w:val="Heading1"/>
      </w:pPr>
      <w:r>
        <w:t>2. Purchase price</w:t>
      </w:r>
    </w:p>
    <w:p>
      <w:r>
        <w:t>The purchase price for the Sale Shares is INR 312 crore on a cash free, debt free basis, subject to a normalised working capital adjustment. Ten percent of the purchase price shall be deposited in an escrow account with Axis Trustee Services for eighteen months.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Tranche</w:t>
            </w:r>
          </w:p>
        </w:tc>
        <w:tc>
          <w:tcPr>
            <w:tcW w:type="dxa" w:w="2880"/>
          </w:tcPr>
          <w:p>
            <w:r>
              <w:t>Timing</w:t>
            </w:r>
          </w:p>
        </w:tc>
        <w:tc>
          <w:tcPr>
            <w:tcW w:type="dxa" w:w="2880"/>
          </w:tcPr>
          <w:p>
            <w:r>
              <w:t>Amount (INR crore)</w:t>
            </w:r>
          </w:p>
        </w:tc>
      </w:tr>
      <w:tr>
        <w:tc>
          <w:tcPr>
            <w:tcW w:type="dxa" w:w="2880"/>
          </w:tcPr>
          <w:p>
            <w:r>
              <w:t>First</w:t>
            </w:r>
          </w:p>
        </w:tc>
        <w:tc>
          <w:tcPr>
            <w:tcW w:type="dxa" w:w="2880"/>
          </w:tcPr>
          <w:p>
            <w:r>
              <w:t>At Completion</w:t>
            </w:r>
          </w:p>
        </w:tc>
        <w:tc>
          <w:tcPr>
            <w:tcW w:type="dxa" w:w="2880"/>
          </w:tcPr>
          <w:p>
            <w:r>
              <w:t>280.8</w:t>
            </w:r>
          </w:p>
        </w:tc>
      </w:tr>
      <w:tr>
        <w:tc>
          <w:tcPr>
            <w:tcW w:type="dxa" w:w="2880"/>
          </w:tcPr>
          <w:p>
            <w:r>
              <w:t>Escrow release</w:t>
            </w:r>
          </w:p>
        </w:tc>
        <w:tc>
          <w:tcPr>
            <w:tcW w:type="dxa" w:w="2880"/>
          </w:tcPr>
          <w:p>
            <w:r>
              <w:t>18 months after Completion</w:t>
            </w:r>
          </w:p>
        </w:tc>
        <w:tc>
          <w:tcPr>
            <w:tcW w:type="dxa" w:w="2880"/>
          </w:tcPr>
          <w:p>
            <w:r>
              <w:t>31.2</w:t>
            </w:r>
          </w:p>
        </w:tc>
      </w:tr>
    </w:tbl>
    <w:p>
      <w:pPr>
        <w:pStyle w:val="Heading1"/>
      </w:pPr>
      <w:r>
        <w:t>3. Conditions precedent</w:t>
      </w:r>
    </w:p>
    <w:p>
      <w:r>
        <w:t>Completion is conditional on approval of the Competition Commission of India (CCI approval) under Section 5 and Section 6 of the Competition Act, 2002, receipt of the no-objection certificate from the lenders, and a valuation certificate under the FEMA pricing guidelines.</w:t>
      </w:r>
    </w:p>
    <w:p>
      <w:pPr>
        <w:pStyle w:val="Heading1"/>
      </w:pPr>
      <w:r>
        <w:t>4. Indemnities</w:t>
      </w:r>
    </w:p>
    <w:p>
      <w:r>
        <w:t>The sellers shall indemnify the purchaser for pre-completion tax liabilities, including the pending GST demand. The tax indemnity is capped at twenty percent of the purchase price and survives for seven years.</w:t>
      </w:r>
    </w:p>
    <w:p>
      <w:pPr>
        <w:pStyle w:val="Heading1"/>
      </w:pPr>
      <w:r>
        <w:t>5. Non-compete</w:t>
      </w:r>
    </w:p>
    <w:p>
      <w:r>
        <w:t>Each promoter undertakes not to compete with the business in India for a non-compete period of three years from Completion.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Fictional Counsel</dc:creator>
  <cp:keywords/>
  <dc:description>generated by python-docx</dc:description>
  <cp:lastModifiedBy/>
  <cp:revision>1</cp:revision>
  <dcterms:created xsi:type="dcterms:W3CDTF">2025-06-01T00:00:00Z</dcterms:created>
  <dcterms:modified xsi:type="dcterms:W3CDTF">2025-06-01T00:00:00Z</dcterms:modified>
  <cp:category/>
</cp:coreProperties>
</file>