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APPRAISAL LETTER</w:t>
      </w:r>
    </w:p>
    <w:p>
      <w:pPr>
        <w:pStyle w:val="Normal"/>
        <w:rPr/>
      </w:pPr>
      <w:r>
        <w:rPr/>
      </w:r>
    </w:p>
    <w:p>
      <w:pPr>
        <w:pStyle w:val="Normal"/>
        <w:tabs>
          <w:tab w:val="clear" w:pos="720"/>
          <w:tab w:val="left" w:pos="1080" w:leader="none"/>
          <w:tab w:val="left" w:pos="6120" w:leader="none"/>
          <w:tab w:val="left" w:pos="7200" w:leader="none"/>
        </w:tabs>
        <w:spacing w:before="120" w:after="0"/>
        <w:rPr>
          <w:lang w:val="en-US"/>
        </w:rPr>
      </w:pPr>
      <w:r>
        <w:rPr>
          <w:lang w:val="en-US"/>
        </w:rPr>
        <w:t>NAME</w:t>
      </w:r>
      <w:r>
        <w:rPr/>
        <w:tab/>
      </w:r>
      <w:r>
        <w:rPr>
          <w:b/>
          <w:bCs/>
          <w:color w:val="C00000"/>
          <w:lang w:val="en-US"/>
        </w:rPr>
        <w:t>[Name]</w:t>
      </w:r>
      <w:r>
        <w:rPr/>
        <w:tab/>
      </w:r>
      <w:r>
        <w:rPr>
          <w:lang w:val="en-US"/>
        </w:rPr>
        <w:t>DATE</w:t>
      </w:r>
      <w:r>
        <w:rPr/>
        <w:tab/>
      </w:r>
      <w:r>
        <w:rPr>
          <w:b/>
          <w:bCs/>
          <w:color w:val="C00000"/>
          <w:lang w:val="en-US"/>
        </w:rPr>
        <w:t>[</w:t>
      </w:r>
      <w:r>
        <w:rPr>
          <w:b/>
          <w:bCs/>
          <w:color w:val="C00000"/>
          <w:lang w:val="en-US"/>
        </w:rPr>
        <w:t>Date</w:t>
      </w:r>
      <w:r>
        <w:rPr>
          <w:b/>
          <w:bCs/>
          <w:color w:val="C00000"/>
          <w:lang w:val="en-US"/>
        </w:rPr>
        <w:t>]</w:t>
      </w:r>
    </w:p>
    <w:p>
      <w:pPr>
        <w:pStyle w:val="Normal"/>
        <w:tabs>
          <w:tab w:val="clear" w:pos="720"/>
          <w:tab w:val="left" w:pos="1080" w:leader="none"/>
          <w:tab w:val="left" w:pos="6120" w:leader="none"/>
          <w:tab w:val="left" w:pos="7200" w:leader="none"/>
        </w:tabs>
        <w:spacing w:before="120" w:after="0"/>
        <w:rPr/>
      </w:pPr>
      <w:r>
        <w:rPr>
          <w:lang w:val="en-US"/>
        </w:rPr>
        <w:t>ID</w:t>
      </w:r>
      <w:r>
        <w:rPr/>
        <w:tab/>
      </w:r>
      <w:r>
        <w:rPr>
          <w:color w:val="C00000"/>
          <w:lang w:val="en-US"/>
        </w:rPr>
        <w:t>[Employee ID]</w:t>
      </w:r>
    </w:p>
    <w:p>
      <w:pPr>
        <w:pStyle w:val="Normal"/>
        <w:tabs>
          <w:tab w:val="clear" w:pos="720"/>
          <w:tab w:val="left" w:pos="1080" w:leader="none"/>
          <w:tab w:val="left" w:pos="6120" w:leader="none"/>
          <w:tab w:val="left" w:pos="7200" w:leader="none"/>
        </w:tabs>
        <w:spacing w:before="120" w:after="0"/>
        <w:rPr/>
      </w:pPr>
      <w:r>
        <w:rPr>
          <w:lang w:val="en-US"/>
        </w:rPr>
        <w:t>TITLE</w:t>
      </w:r>
      <w:r>
        <w:rPr/>
        <w:tab/>
      </w:r>
      <w:r>
        <w:rPr>
          <w:color w:val="C00000"/>
          <w:lang w:val="en-US"/>
        </w:rPr>
        <w:t>[Employee Title]</w:t>
      </w:r>
      <w:r>
        <w:rPr/>
        <w:tab/>
      </w:r>
      <w:r>
        <w:rPr>
          <w:lang w:val="en-US"/>
        </w:rPr>
        <w:t>FROM</w:t>
      </w:r>
      <w:r>
        <w:rPr/>
        <w:tab/>
      </w:r>
      <w:r>
        <w:rPr>
          <w:lang w:val="en-US"/>
        </w:rPr>
        <w:t>Derek Harrar, CEO</w:t>
      </w:r>
    </w:p>
    <w:p>
      <w:pPr>
        <w:pStyle w:val="Normal"/>
        <w:tabs>
          <w:tab w:val="clear" w:pos="720"/>
          <w:tab w:val="left" w:pos="1080" w:leader="none"/>
          <w:tab w:val="left" w:pos="6120" w:leader="none"/>
          <w:tab w:val="left" w:pos="7200" w:leader="none"/>
        </w:tabs>
        <w:spacing w:before="120" w:after="0"/>
        <w:rPr/>
      </w:pPr>
      <w:r>
        <w:rPr>
          <w:lang w:val="en-US"/>
        </w:rPr>
        <w:t>DEPT</w:t>
      </w:r>
      <w:r>
        <w:rPr/>
        <w:tab/>
      </w:r>
      <w:r>
        <w:rPr>
          <w:color w:val="C00000"/>
          <w:lang w:val="en-US"/>
        </w:rPr>
        <w:t>[Employee Department]</w:t>
      </w:r>
    </w:p>
    <w:p>
      <w:pPr>
        <w:pStyle w:val="Normal"/>
        <w:tabs>
          <w:tab w:val="clear" w:pos="720"/>
          <w:tab w:val="left" w:pos="1080" w:leader="none"/>
          <w:tab w:val="left" w:pos="6480" w:leader="none"/>
          <w:tab w:val="left" w:pos="7560" w:leader="none"/>
        </w:tabs>
        <w:spacing w:before="120" w:after="0"/>
        <w:rPr/>
      </w:pPr>
      <w:r>
        <w:rPr/>
      </w:r>
    </w:p>
    <w:p>
      <w:pPr>
        <w:pStyle w:val="Normal"/>
        <w:tabs>
          <w:tab w:val="clear" w:pos="720"/>
          <w:tab w:val="left" w:pos="1080" w:leader="none"/>
          <w:tab w:val="left" w:pos="6480" w:leader="none"/>
          <w:tab w:val="left" w:pos="7560" w:leader="none"/>
        </w:tabs>
        <w:rPr>
          <w:b/>
          <w:bCs/>
          <w:lang w:val="en-US"/>
        </w:rPr>
      </w:pPr>
      <w:r>
        <w:rPr>
          <w:b/>
          <w:bCs/>
          <w:lang w:val="en-US"/>
        </w:rPr>
        <w:t>RE</w:t>
      </w:r>
      <w:r>
        <w:rPr/>
        <w:tab/>
      </w:r>
      <w:r>
        <w:rPr>
          <w:b/>
          <w:bCs/>
          <w:lang w:val="en-US"/>
        </w:rPr>
        <w:t>Your Algoworks 2024 And 2025 Compensation Details</w:t>
      </w:r>
    </w:p>
    <w:p>
      <w:pPr>
        <w:pStyle w:val="Normal"/>
        <w:pBdr>
          <w:bottom w:val="single" w:sz="4" w:space="1" w:color="000000"/>
        </w:pBdr>
        <w:rPr/>
      </w:pPr>
      <w:r>
        <w:rPr/>
      </w:r>
    </w:p>
    <w:p>
      <w:pPr>
        <w:pStyle w:val="Normal"/>
        <w:rPr>
          <w:szCs w:val="24"/>
        </w:rPr>
      </w:pPr>
      <w:r>
        <w:rPr>
          <w:szCs w:val="24"/>
        </w:rPr>
      </w:r>
    </w:p>
    <w:p>
      <w:pPr>
        <w:pStyle w:val="Normal"/>
        <w:spacing w:before="0" w:after="120"/>
        <w:rPr>
          <w:sz w:val="22"/>
          <w:szCs w:val="22"/>
          <w:lang w:val="en-US"/>
        </w:rPr>
      </w:pPr>
      <w:r>
        <w:rPr>
          <w:sz w:val="22"/>
          <w:szCs w:val="22"/>
          <w:lang w:val="en-US"/>
        </w:rPr>
        <w:t>2025 is off to a great start, Algoworks has momentum across all practices.  I hope you can feel the positive energy flowing through the Company.  2024 was very difficult with declining revenue, so it’s great to see optimism around the globe.  There’s a lot to be excited about, including our new logo/branding shown above, which will be formally announced soon …</w:t>
      </w:r>
    </w:p>
    <w:p>
      <w:pPr>
        <w:pStyle w:val="Normal"/>
        <w:spacing w:before="0" w:after="120"/>
        <w:rPr>
          <w:sz w:val="22"/>
          <w:szCs w:val="22"/>
          <w:lang w:val="en-US"/>
        </w:rPr>
      </w:pPr>
      <w:r>
        <w:rPr>
          <w:sz w:val="22"/>
          <w:szCs w:val="22"/>
          <w:lang w:val="en-US"/>
        </w:rPr>
        <w:t>Despite our 2024 challenges, appraisals overall are in line with the IT services industry globally.  Your appraisal was derived from a variety of factors, including (i) your 2024 individual performance, (ii) your team’s performance, (iii) Algoworks’ overall corporate performance and objectives, (iv) IT services industry benchmarks by region, and (v) overall global market/economic conditions.</w:t>
      </w:r>
    </w:p>
    <w:p>
      <w:pPr>
        <w:pStyle w:val="Normal"/>
        <w:spacing w:before="0" w:after="120"/>
        <w:rPr>
          <w:sz w:val="22"/>
          <w:szCs w:val="22"/>
          <w:lang w:val="en-US"/>
        </w:rPr>
      </w:pPr>
      <w:r>
        <w:rPr>
          <w:sz w:val="22"/>
          <w:szCs w:val="22"/>
          <w:lang w:val="en-US"/>
        </w:rPr>
        <w:t>Algoworks’ 2025 Compensation Program is detailed in Appendix A.  I am proud to report that your management team has worked rigorously to professionalize every detail in favor of transparency, consistency and objectivity, while clearly conveying our priorities and goals.</w:t>
      </w:r>
    </w:p>
    <w:p>
      <w:pPr>
        <w:pStyle w:val="Outline-Legal"/>
        <w:numPr>
          <w:ilvl w:val="0"/>
          <w:numId w:val="2"/>
        </w:numPr>
        <w:tabs>
          <w:tab w:val="clear" w:pos="720"/>
          <w:tab w:val="left" w:pos="4680" w:leader="none"/>
        </w:tabs>
        <w:spacing w:before="180" w:after="0"/>
        <w:rPr>
          <w:b/>
          <w:bCs/>
          <w:sz w:val="22"/>
          <w:szCs w:val="22"/>
        </w:rPr>
      </w:pPr>
      <w:r>
        <w:rPr>
          <w:b/>
          <w:bCs/>
          <w:sz w:val="22"/>
          <w:szCs w:val="22"/>
        </w:rPr>
        <w:t>Your 2024 Bonus is</w:t>
        <w:tab/>
      </w:r>
      <w:bookmarkStart w:id="0" w:name="_Toc187828294"/>
      <w:bookmarkStart w:id="1" w:name="_Toc187827403"/>
      <w:r>
        <w:rPr>
          <w:color w:val="C00000"/>
          <w:sz w:val="22"/>
          <w:szCs w:val="22"/>
        </w:rPr>
        <w:t>[</w:t>
      </w:r>
      <w:r>
        <w:rPr>
          <w:color w:val="C00000"/>
          <w:sz w:val="22"/>
          <w:szCs w:val="22"/>
        </w:rPr>
        <w:t>Bonus</w:t>
      </w:r>
      <w:r>
        <w:rPr>
          <w:color w:val="C00000"/>
          <w:sz w:val="22"/>
          <w:szCs w:val="22"/>
        </w:rPr>
        <w:t xml:space="preserve"> in INR]</w:t>
      </w:r>
      <w:bookmarkEnd w:id="0"/>
      <w:bookmarkEnd w:id="1"/>
    </w:p>
    <w:p>
      <w:pPr>
        <w:pStyle w:val="Outline-Legal"/>
        <w:numPr>
          <w:ilvl w:val="0"/>
          <w:numId w:val="2"/>
        </w:numPr>
        <w:spacing w:before="180" w:after="0"/>
        <w:rPr>
          <w:b/>
          <w:bCs/>
          <w:sz w:val="22"/>
          <w:szCs w:val="22"/>
        </w:rPr>
      </w:pPr>
      <w:r>
        <w:rPr>
          <w:b/>
          <w:bCs/>
          <w:sz w:val="22"/>
          <w:szCs w:val="22"/>
        </w:rPr>
        <w:t>Your 2025 Compensation Profile is …</w:t>
      </w:r>
    </w:p>
    <w:tbl>
      <w:tblPr>
        <w:tblStyle w:val="TableGrid"/>
        <w:tblW w:w="9360" w:type="dxa"/>
        <w:jc w:val="left"/>
        <w:tblInd w:w="-5" w:type="dxa"/>
        <w:tblLayout w:type="fixed"/>
        <w:tblCellMar>
          <w:top w:w="0" w:type="dxa"/>
          <w:left w:w="0" w:type="dxa"/>
          <w:bottom w:w="0" w:type="dxa"/>
          <w:right w:w="108" w:type="dxa"/>
        </w:tblCellMar>
        <w:tblLook w:firstRow="1" w:noVBand="1" w:lastRow="0" w:firstColumn="1" w:lastColumn="0" w:noHBand="0" w:val="04a0"/>
      </w:tblPr>
      <w:tblGrid>
        <w:gridCol w:w="1080"/>
        <w:gridCol w:w="3600"/>
        <w:gridCol w:w="2160"/>
        <w:gridCol w:w="2519"/>
      </w:tblGrid>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spacing w:before="60" w:after="0"/>
              <w:jc w:val="left"/>
              <w:rPr>
                <w:sz w:val="20"/>
                <w:szCs w:val="20"/>
              </w:rPr>
            </w:pPr>
            <w:r>
              <w:rPr>
                <w:rFonts w:eastAsia="Arial" w:cs="Arial"/>
                <w:kern w:val="0"/>
                <w:sz w:val="20"/>
                <w:szCs w:val="20"/>
                <w:lang w:val="en-US" w:eastAsia="en-US" w:bidi="ar-SA"/>
              </w:rPr>
              <w:t>Basic Salary</w:t>
            </w:r>
            <w:r>
              <w:rPr>
                <w:rStyle w:val="FootnoteReference"/>
                <w:rFonts w:eastAsia="Arial" w:cs="Arial"/>
                <w:kern w:val="0"/>
                <w:sz w:val="20"/>
                <w:szCs w:val="20"/>
                <w:lang w:val="en-US" w:eastAsia="en-US" w:bidi="ar-SA"/>
              </w:rPr>
              <w:footnoteReference w:id="2"/>
            </w:r>
          </w:p>
        </w:tc>
        <w:tc>
          <w:tcPr>
            <w:tcW w:w="2160" w:type="dxa"/>
            <w:tcBorders>
              <w:top w:val="nil"/>
              <w:left w:val="nil"/>
              <w:bottom w:val="nil"/>
              <w:right w:val="nil"/>
            </w:tcBorders>
          </w:tcPr>
          <w:p>
            <w:pPr>
              <w:pStyle w:val="Normal"/>
              <w:widowControl/>
              <w:spacing w:before="60" w:after="0"/>
              <w:jc w:val="left"/>
              <w:rPr>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Basic</w:t>
            </w:r>
            <w:r>
              <w:rPr>
                <w:rFonts w:eastAsia="Arial" w:cs="Arial"/>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color w:val="C00000"/>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Basic Increase if any</w:t>
            </w:r>
            <w:r>
              <w:rPr>
                <w:rFonts w:eastAsia="Arial" w:cs="Arial"/>
                <w:color w:val="C00000"/>
                <w:kern w:val="0"/>
                <w:sz w:val="20"/>
                <w:szCs w:val="20"/>
                <w:lang w:val="en-US" w:eastAsia="en-US" w:bidi="ar-SA"/>
              </w:rPr>
              <w:t>]</w:t>
            </w:r>
          </w:p>
        </w:tc>
      </w:tr>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spacing w:before="60" w:after="0"/>
              <w:jc w:val="left"/>
              <w:rPr>
                <w:sz w:val="20"/>
                <w:szCs w:val="20"/>
              </w:rPr>
            </w:pPr>
            <w:r>
              <w:rPr>
                <w:rFonts w:eastAsia="Arial" w:cs="Arial"/>
                <w:kern w:val="0"/>
                <w:sz w:val="20"/>
                <w:szCs w:val="20"/>
                <w:lang w:val="en-US" w:eastAsia="en-US" w:bidi="ar-SA"/>
              </w:rPr>
              <w:t>HRA</w:t>
            </w:r>
          </w:p>
        </w:tc>
        <w:tc>
          <w:tcPr>
            <w:tcW w:w="2160" w:type="dxa"/>
            <w:tcBorders>
              <w:top w:val="nil"/>
              <w:left w:val="nil"/>
              <w:bottom w:val="nil"/>
              <w:right w:val="nil"/>
            </w:tcBorders>
          </w:tcPr>
          <w:p>
            <w:pPr>
              <w:pStyle w:val="Normal"/>
              <w:widowControl/>
              <w:spacing w:before="60" w:after="0"/>
              <w:jc w:val="left"/>
              <w:rPr>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HRA</w:t>
            </w:r>
            <w:r>
              <w:rPr>
                <w:rFonts w:eastAsia="Arial" w:cs="Arial"/>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color w:val="C00000"/>
                <w:sz w:val="20"/>
                <w:szCs w:val="20"/>
              </w:rPr>
            </w:pPr>
            <w:r>
              <w:rPr>
                <w:rFonts w:eastAsia="Arial" w:cs="Arial"/>
                <w:color w:val="C00000"/>
                <w:kern w:val="0"/>
                <w:sz w:val="20"/>
                <w:szCs w:val="20"/>
                <w:lang w:val="en-US" w:eastAsia="en-US" w:bidi="ar-SA"/>
              </w:rPr>
            </w:r>
          </w:p>
        </w:tc>
      </w:tr>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spacing w:before="60" w:after="0"/>
              <w:jc w:val="left"/>
              <w:rPr>
                <w:sz w:val="20"/>
                <w:szCs w:val="20"/>
              </w:rPr>
            </w:pPr>
            <w:r>
              <w:rPr>
                <w:rFonts w:eastAsia="Arial" w:cs="Arial"/>
                <w:kern w:val="0"/>
                <w:sz w:val="20"/>
                <w:szCs w:val="20"/>
                <w:lang w:val="en-US" w:eastAsia="en-US" w:bidi="ar-SA"/>
              </w:rPr>
              <w:t>Other Allowance</w:t>
            </w:r>
          </w:p>
        </w:tc>
        <w:tc>
          <w:tcPr>
            <w:tcW w:w="2160" w:type="dxa"/>
            <w:tcBorders>
              <w:top w:val="nil"/>
              <w:left w:val="nil"/>
              <w:bottom w:val="nil"/>
              <w:right w:val="nil"/>
            </w:tcBorders>
          </w:tcPr>
          <w:p>
            <w:pPr>
              <w:pStyle w:val="Normal"/>
              <w:widowControl/>
              <w:spacing w:before="60" w:after="0"/>
              <w:jc w:val="left"/>
              <w:rPr>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Other Allowance</w:t>
            </w:r>
            <w:r>
              <w:rPr>
                <w:rFonts w:eastAsia="Arial" w:cs="Arial"/>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color w:val="C00000"/>
                <w:sz w:val="20"/>
                <w:szCs w:val="20"/>
              </w:rPr>
            </w:pPr>
            <w:r>
              <w:rPr>
                <w:rFonts w:eastAsia="Arial" w:cs="Arial"/>
                <w:color w:val="C00000"/>
                <w:kern w:val="0"/>
                <w:sz w:val="20"/>
                <w:szCs w:val="20"/>
                <w:lang w:val="en-US" w:eastAsia="en-US" w:bidi="ar-SA"/>
              </w:rPr>
            </w:r>
          </w:p>
        </w:tc>
      </w:tr>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spacing w:before="60" w:after="0"/>
              <w:jc w:val="left"/>
              <w:rPr>
                <w:sz w:val="20"/>
                <w:szCs w:val="20"/>
              </w:rPr>
            </w:pPr>
            <w:r>
              <w:rPr>
                <w:rFonts w:eastAsia="Arial" w:cs="Arial"/>
                <w:kern w:val="0"/>
                <w:sz w:val="20"/>
                <w:szCs w:val="20"/>
                <w:lang w:val="en-US" w:eastAsia="en-US" w:bidi="ar-SA"/>
              </w:rPr>
              <w:t>Provident Fund</w:t>
            </w:r>
          </w:p>
        </w:tc>
        <w:tc>
          <w:tcPr>
            <w:tcW w:w="2160" w:type="dxa"/>
            <w:tcBorders>
              <w:top w:val="nil"/>
              <w:left w:val="nil"/>
              <w:bottom w:val="nil"/>
              <w:right w:val="nil"/>
            </w:tcBorders>
          </w:tcPr>
          <w:p>
            <w:pPr>
              <w:pStyle w:val="Normal"/>
              <w:widowControl/>
              <w:spacing w:before="60" w:after="0"/>
              <w:jc w:val="left"/>
              <w:rPr>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Provident Fund</w:t>
            </w:r>
            <w:r>
              <w:rPr>
                <w:rFonts w:eastAsia="Arial" w:cs="Arial"/>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color w:val="C00000"/>
                <w:sz w:val="20"/>
                <w:szCs w:val="20"/>
              </w:rPr>
            </w:pPr>
            <w:r>
              <w:rPr>
                <w:rFonts w:eastAsia="Arial" w:cs="Arial"/>
                <w:color w:val="C00000"/>
                <w:kern w:val="0"/>
                <w:sz w:val="20"/>
                <w:szCs w:val="20"/>
                <w:lang w:val="en-US" w:eastAsia="en-US" w:bidi="ar-SA"/>
              </w:rPr>
            </w:r>
          </w:p>
        </w:tc>
      </w:tr>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spacing w:before="60" w:after="0"/>
              <w:jc w:val="left"/>
              <w:rPr>
                <w:sz w:val="20"/>
                <w:szCs w:val="20"/>
              </w:rPr>
            </w:pPr>
            <w:r>
              <w:rPr>
                <w:rFonts w:eastAsia="Arial" w:cs="Arial"/>
                <w:kern w:val="0"/>
                <w:sz w:val="20"/>
                <w:szCs w:val="20"/>
                <w:lang w:val="en-US" w:eastAsia="en-US" w:bidi="ar-SA"/>
              </w:rPr>
              <w:t>Company Deposit</w:t>
            </w:r>
            <w:r>
              <w:rPr>
                <w:rStyle w:val="FootnoteReference"/>
                <w:rFonts w:eastAsia="Arial" w:cs="Arial"/>
                <w:kern w:val="0"/>
                <w:sz w:val="20"/>
                <w:szCs w:val="20"/>
                <w:lang w:val="en-US" w:eastAsia="en-US" w:bidi="ar-SA"/>
              </w:rPr>
              <w:footnoteReference w:id="3"/>
            </w:r>
          </w:p>
        </w:tc>
        <w:tc>
          <w:tcPr>
            <w:tcW w:w="2160" w:type="dxa"/>
            <w:tcBorders>
              <w:top w:val="nil"/>
              <w:left w:val="nil"/>
              <w:bottom w:val="nil"/>
              <w:right w:val="nil"/>
            </w:tcBorders>
          </w:tcPr>
          <w:p>
            <w:pPr>
              <w:pStyle w:val="Normal"/>
              <w:widowControl/>
              <w:spacing w:before="60" w:after="0"/>
              <w:jc w:val="left"/>
              <w:rPr>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Company Deposit</w:t>
            </w:r>
            <w:r>
              <w:rPr>
                <w:rFonts w:eastAsia="Arial" w:cs="Arial"/>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color w:val="C00000"/>
                <w:sz w:val="20"/>
                <w:szCs w:val="20"/>
              </w:rPr>
            </w:pPr>
            <w:r>
              <w:rPr>
                <w:rFonts w:eastAsia="Arial" w:cs="Arial"/>
                <w:color w:val="C00000"/>
                <w:kern w:val="0"/>
                <w:sz w:val="20"/>
                <w:szCs w:val="20"/>
                <w:lang w:val="en-US" w:eastAsia="en-US" w:bidi="ar-SA"/>
              </w:rPr>
            </w:r>
          </w:p>
        </w:tc>
      </w:tr>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tabs>
                <w:tab w:val="left" w:pos="720" w:leader="none"/>
              </w:tabs>
              <w:spacing w:before="60" w:after="0"/>
              <w:jc w:val="left"/>
              <w:rPr>
                <w:b/>
                <w:bCs/>
                <w:sz w:val="20"/>
                <w:szCs w:val="20"/>
              </w:rPr>
            </w:pPr>
            <w:r>
              <w:rPr>
                <w:rFonts w:eastAsia="Arial" w:cs="Arial"/>
                <w:b/>
                <w:bCs/>
                <w:kern w:val="0"/>
                <w:sz w:val="20"/>
                <w:szCs w:val="20"/>
                <w:lang w:val="en-US" w:eastAsia="en-US" w:bidi="ar-SA"/>
              </w:rPr>
              <w:tab/>
              <w:t>Total Fixed Compensation</w:t>
            </w:r>
          </w:p>
        </w:tc>
        <w:tc>
          <w:tcPr>
            <w:tcW w:w="2160" w:type="dxa"/>
            <w:tcBorders>
              <w:top w:val="nil"/>
              <w:left w:val="nil"/>
              <w:bottom w:val="nil"/>
              <w:right w:val="nil"/>
            </w:tcBorders>
          </w:tcPr>
          <w:p>
            <w:pPr>
              <w:pStyle w:val="Normal"/>
              <w:widowControl/>
              <w:spacing w:before="60" w:after="0"/>
              <w:jc w:val="left"/>
              <w:rPr>
                <w:b/>
                <w:bCs/>
                <w:sz w:val="20"/>
                <w:szCs w:val="20"/>
              </w:rPr>
            </w:pPr>
            <w:r>
              <w:rPr>
                <w:rFonts w:eastAsia="Arial" w:cs="Arial"/>
                <w:b/>
                <w:bCs/>
                <w:color w:val="C00000"/>
                <w:kern w:val="0"/>
                <w:sz w:val="20"/>
                <w:szCs w:val="20"/>
                <w:lang w:val="en-US" w:eastAsia="en-US" w:bidi="ar-SA"/>
              </w:rPr>
              <w:t>[</w:t>
            </w:r>
            <w:r>
              <w:rPr>
                <w:rFonts w:eastAsia="Arial" w:cs="Arial"/>
                <w:b/>
                <w:bCs/>
                <w:color w:val="C00000"/>
                <w:kern w:val="0"/>
                <w:sz w:val="20"/>
                <w:szCs w:val="20"/>
                <w:lang w:val="en-US" w:eastAsia="en-US" w:bidi="ar-SA"/>
              </w:rPr>
              <w:t>Total Fixed</w:t>
            </w:r>
            <w:r>
              <w:rPr>
                <w:rFonts w:eastAsia="Arial" w:cs="Arial"/>
                <w:b/>
                <w:bCs/>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b/>
                <w:bCs/>
                <w:color w:val="C00000"/>
                <w:sz w:val="20"/>
                <w:szCs w:val="20"/>
              </w:rPr>
            </w:pPr>
            <w:r>
              <w:rPr>
                <w:rFonts w:eastAsia="Arial" w:cs="Arial"/>
                <w:b/>
                <w:bCs/>
                <w:color w:val="C00000"/>
                <w:kern w:val="0"/>
                <w:sz w:val="20"/>
                <w:szCs w:val="20"/>
                <w:lang w:val="en-US" w:eastAsia="en-US" w:bidi="ar-SA"/>
              </w:rPr>
            </w:r>
          </w:p>
        </w:tc>
      </w:tr>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spacing w:before="60" w:after="0"/>
              <w:jc w:val="left"/>
              <w:rPr>
                <w:sz w:val="20"/>
                <w:szCs w:val="20"/>
                <w:lang w:val="en-US"/>
              </w:rPr>
            </w:pPr>
            <w:r>
              <w:rPr>
                <w:rFonts w:eastAsia="Arial" w:cs="Arial"/>
                <w:kern w:val="0"/>
                <w:sz w:val="20"/>
                <w:szCs w:val="20"/>
                <w:lang w:val="en-US" w:eastAsia="en-US" w:bidi="ar-SA"/>
              </w:rPr>
              <w:t>Bonus (at Target)</w:t>
            </w:r>
            <w:r>
              <w:rPr>
                <w:rStyle w:val="FootnoteReference"/>
                <w:rFonts w:eastAsia="Arial" w:cs="Arial"/>
                <w:kern w:val="0"/>
                <w:sz w:val="20"/>
                <w:szCs w:val="20"/>
                <w:lang w:val="en-US" w:eastAsia="en-US" w:bidi="ar-SA"/>
              </w:rPr>
              <w:footnoteReference w:id="4"/>
            </w:r>
          </w:p>
        </w:tc>
        <w:tc>
          <w:tcPr>
            <w:tcW w:w="2160" w:type="dxa"/>
            <w:tcBorders>
              <w:top w:val="nil"/>
              <w:left w:val="nil"/>
              <w:bottom w:val="nil"/>
              <w:right w:val="nil"/>
            </w:tcBorders>
          </w:tcPr>
          <w:p>
            <w:pPr>
              <w:pStyle w:val="Normal"/>
              <w:widowControl/>
              <w:spacing w:before="60" w:after="0"/>
              <w:jc w:val="left"/>
              <w:rPr>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Target</w:t>
            </w:r>
            <w:r>
              <w:rPr>
                <w:rFonts w:eastAsia="Arial" w:cs="Arial"/>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color w:val="C00000"/>
                <w:sz w:val="20"/>
                <w:szCs w:val="20"/>
              </w:rPr>
            </w:pPr>
            <w:r>
              <w:rPr>
                <w:rFonts w:eastAsia="Arial" w:cs="Arial"/>
                <w:color w:val="C00000"/>
                <w:kern w:val="0"/>
                <w:sz w:val="20"/>
                <w:szCs w:val="20"/>
                <w:lang w:val="en-US" w:eastAsia="en-US" w:bidi="ar-SA"/>
              </w:rPr>
              <w:t>[</w:t>
            </w:r>
            <w:r>
              <w:rPr>
                <w:rFonts w:eastAsia="Arial" w:cs="Arial"/>
                <w:color w:val="C00000"/>
                <w:kern w:val="0"/>
                <w:sz w:val="20"/>
                <w:szCs w:val="20"/>
                <w:lang w:val="en-US" w:eastAsia="en-US" w:bidi="ar-SA"/>
              </w:rPr>
              <w:t>Bonus Increase</w:t>
            </w:r>
            <w:r>
              <w:rPr>
                <w:rFonts w:eastAsia="Arial" w:cs="Arial"/>
                <w:color w:val="C00000"/>
                <w:kern w:val="0"/>
                <w:sz w:val="20"/>
                <w:szCs w:val="20"/>
                <w:lang w:val="en-US" w:eastAsia="en-US" w:bidi="ar-SA"/>
              </w:rPr>
              <w:t xml:space="preserve"> if any]</w:t>
            </w:r>
          </w:p>
        </w:tc>
      </w:tr>
      <w:tr>
        <w:trPr/>
        <w:tc>
          <w:tcPr>
            <w:tcW w:w="1080" w:type="dxa"/>
            <w:tcBorders>
              <w:top w:val="nil"/>
              <w:left w:val="nil"/>
              <w:bottom w:val="nil"/>
              <w:right w:val="nil"/>
            </w:tcBorders>
          </w:tcPr>
          <w:p>
            <w:pPr>
              <w:pStyle w:val="Outline-Legal"/>
              <w:widowControl/>
              <w:numPr>
                <w:ilvl w:val="1"/>
                <w:numId w:val="2"/>
              </w:numPr>
              <w:spacing w:before="60" w:after="0"/>
              <w:jc w:val="left"/>
              <w:rPr>
                <w:b/>
                <w:bCs/>
                <w:sz w:val="20"/>
                <w:szCs w:val="20"/>
              </w:rPr>
            </w:pPr>
            <w:r>
              <w:rPr>
                <w:b/>
                <w:bCs/>
                <w:kern w:val="0"/>
                <w:sz w:val="20"/>
                <w:szCs w:val="20"/>
                <w:lang w:eastAsia="en-US" w:bidi="ar-SA"/>
              </w:rPr>
            </w:r>
          </w:p>
        </w:tc>
        <w:tc>
          <w:tcPr>
            <w:tcW w:w="3600" w:type="dxa"/>
            <w:tcBorders>
              <w:top w:val="nil"/>
              <w:left w:val="nil"/>
              <w:bottom w:val="nil"/>
              <w:right w:val="nil"/>
            </w:tcBorders>
          </w:tcPr>
          <w:p>
            <w:pPr>
              <w:pStyle w:val="Normal"/>
              <w:widowControl/>
              <w:tabs>
                <w:tab w:val="left" w:pos="720" w:leader="none"/>
              </w:tabs>
              <w:spacing w:before="60" w:after="0"/>
              <w:jc w:val="left"/>
              <w:rPr>
                <w:b/>
                <w:bCs/>
                <w:sz w:val="20"/>
                <w:szCs w:val="20"/>
              </w:rPr>
            </w:pPr>
            <w:r>
              <w:rPr>
                <w:rFonts w:eastAsia="Arial" w:cs="Arial"/>
                <w:b/>
                <w:bCs/>
                <w:kern w:val="0"/>
                <w:sz w:val="20"/>
                <w:szCs w:val="20"/>
                <w:lang w:val="en-US" w:eastAsia="en-US" w:bidi="ar-SA"/>
              </w:rPr>
              <w:tab/>
              <w:t>Total CTC</w:t>
            </w:r>
          </w:p>
        </w:tc>
        <w:tc>
          <w:tcPr>
            <w:tcW w:w="2160" w:type="dxa"/>
            <w:tcBorders>
              <w:top w:val="nil"/>
              <w:left w:val="nil"/>
              <w:bottom w:val="nil"/>
              <w:right w:val="nil"/>
            </w:tcBorders>
          </w:tcPr>
          <w:p>
            <w:pPr>
              <w:pStyle w:val="Normal"/>
              <w:widowControl/>
              <w:spacing w:before="60" w:after="0"/>
              <w:jc w:val="left"/>
              <w:rPr>
                <w:b/>
                <w:bCs/>
                <w:sz w:val="20"/>
                <w:szCs w:val="20"/>
              </w:rPr>
            </w:pPr>
            <w:r>
              <w:rPr>
                <w:rFonts w:eastAsia="Arial" w:cs="Arial"/>
                <w:b/>
                <w:bCs/>
                <w:color w:val="C00000"/>
                <w:kern w:val="0"/>
                <w:sz w:val="20"/>
                <w:szCs w:val="20"/>
                <w:lang w:val="en-US" w:eastAsia="en-US" w:bidi="ar-SA"/>
              </w:rPr>
              <w:t>[</w:t>
            </w:r>
            <w:r>
              <w:rPr>
                <w:rFonts w:eastAsia="Arial" w:cs="Arial"/>
                <w:b/>
                <w:bCs/>
                <w:color w:val="C00000"/>
                <w:kern w:val="0"/>
                <w:sz w:val="20"/>
                <w:szCs w:val="20"/>
                <w:lang w:val="en-US" w:eastAsia="en-US" w:bidi="ar-SA"/>
              </w:rPr>
              <w:t>Total CTC</w:t>
            </w:r>
            <w:r>
              <w:rPr>
                <w:rFonts w:eastAsia="Arial" w:cs="Arial"/>
                <w:b/>
                <w:bCs/>
                <w:color w:val="C00000"/>
                <w:kern w:val="0"/>
                <w:sz w:val="20"/>
                <w:szCs w:val="20"/>
                <w:lang w:val="en-US" w:eastAsia="en-US" w:bidi="ar-SA"/>
              </w:rPr>
              <w:t xml:space="preserve"> in INR]</w:t>
            </w:r>
          </w:p>
        </w:tc>
        <w:tc>
          <w:tcPr>
            <w:tcW w:w="2519" w:type="dxa"/>
            <w:tcBorders>
              <w:top w:val="nil"/>
              <w:left w:val="nil"/>
              <w:bottom w:val="nil"/>
              <w:right w:val="nil"/>
            </w:tcBorders>
          </w:tcPr>
          <w:p>
            <w:pPr>
              <w:pStyle w:val="Normal"/>
              <w:widowControl/>
              <w:spacing w:before="60" w:after="0"/>
              <w:jc w:val="left"/>
              <w:rPr>
                <w:b/>
                <w:bCs/>
                <w:color w:val="C00000"/>
                <w:sz w:val="20"/>
                <w:szCs w:val="20"/>
              </w:rPr>
            </w:pPr>
            <w:r>
              <w:rPr>
                <w:rFonts w:eastAsia="Arial" w:cs="Arial"/>
                <w:b/>
                <w:bCs/>
                <w:color w:val="C00000"/>
                <w:kern w:val="0"/>
                <w:sz w:val="20"/>
                <w:szCs w:val="20"/>
                <w:lang w:val="en-US" w:eastAsia="en-US" w:bidi="ar-SA"/>
              </w:rPr>
            </w:r>
          </w:p>
        </w:tc>
      </w:tr>
    </w:tbl>
    <w:p>
      <w:pPr>
        <w:pStyle w:val="Outline-Legal"/>
        <w:numPr>
          <w:ilvl w:val="1"/>
          <w:numId w:val="2"/>
        </w:numPr>
        <w:spacing w:before="60" w:after="0"/>
        <w:rPr>
          <w:sz w:val="20"/>
          <w:szCs w:val="20"/>
        </w:rPr>
      </w:pPr>
      <w:r>
        <w:rPr>
          <w:sz w:val="20"/>
          <w:szCs w:val="20"/>
        </w:rPr>
        <w:t xml:space="preserve">In terms of your 2025 MBO Individual Targets, you are a </w:t>
      </w:r>
      <w:r>
        <w:rPr>
          <w:color w:val="C00000"/>
          <w:sz w:val="20"/>
          <w:szCs w:val="20"/>
        </w:rPr>
        <w:t>[</w:t>
      </w:r>
      <w:r>
        <w:rPr>
          <w:color w:val="C00000"/>
          <w:sz w:val="20"/>
          <w:szCs w:val="20"/>
        </w:rPr>
        <w:t>Employee Type</w:t>
      </w:r>
      <w:r>
        <w:rPr>
          <w:color w:val="C00000"/>
          <w:sz w:val="20"/>
          <w:szCs w:val="20"/>
        </w:rPr>
        <w:t>]</w:t>
      </w:r>
      <w:r>
        <w:rPr>
          <w:sz w:val="20"/>
          <w:szCs w:val="20"/>
        </w:rPr>
        <w:t>.  See Appendix A, Section III for more details</w:t>
      </w:r>
    </w:p>
    <w:p>
      <w:pPr>
        <w:pStyle w:val="Outline-Legal"/>
        <w:numPr>
          <w:ilvl w:val="1"/>
          <w:numId w:val="2"/>
        </w:numPr>
        <w:spacing w:before="60" w:after="0"/>
        <w:rPr>
          <w:sz w:val="20"/>
          <w:szCs w:val="20"/>
        </w:rPr>
      </w:pPr>
      <w:r>
        <w:rPr>
          <w:color w:val="C00000"/>
          <w:sz w:val="20"/>
          <w:szCs w:val="20"/>
        </w:rPr>
        <w:t>[For SDRs only]</w:t>
      </w:r>
      <w:r>
        <w:rPr>
          <w:sz w:val="20"/>
          <w:szCs w:val="20"/>
        </w:rPr>
        <w:t xml:space="preserve"> Your 2025 MBO Individual sales booking Target is $</w:t>
      </w:r>
      <w:r>
        <w:rPr>
          <w:color w:val="C00000"/>
          <w:sz w:val="20"/>
          <w:szCs w:val="20"/>
        </w:rPr>
        <w:t>[3 or 4]</w:t>
      </w:r>
      <w:r>
        <w:rPr>
          <w:sz w:val="20"/>
          <w:szCs w:val="20"/>
        </w:rPr>
        <w:t xml:space="preserve"> million.  See Appendix A, Section III for more details</w:t>
      </w:r>
    </w:p>
    <w:p>
      <w:pPr>
        <w:pStyle w:val="Outline-Legal"/>
        <w:numPr>
          <w:ilvl w:val="1"/>
          <w:numId w:val="2"/>
        </w:numPr>
        <w:spacing w:before="60" w:after="0"/>
        <w:rPr>
          <w:i/>
          <w:i/>
          <w:iCs/>
          <w:sz w:val="20"/>
          <w:szCs w:val="20"/>
        </w:rPr>
      </w:pPr>
      <w:r>
        <w:rPr>
          <w:color w:val="C00000"/>
          <w:sz w:val="20"/>
          <w:szCs w:val="20"/>
        </w:rPr>
        <w:t>[Any other employee-specific details that need to be covered in Appraisal Letter]</w:t>
      </w:r>
    </w:p>
    <w:sectPr>
      <w:headerReference w:type="default" r:id="rId2"/>
      <w:headerReference w:type="first" r:id="rId3"/>
      <w:footerReference w:type="default" r:id="rId4"/>
      <w:footerReference w:type="first" r:id="rId5"/>
      <w:footnotePr>
        <w:numFmt w:val="decimal"/>
      </w:footnotePr>
      <w:type w:val="nextPage"/>
      <w:pgSz w:w="12240" w:h="15840"/>
      <w:pgMar w:left="1440" w:right="1440" w:gutter="0" w:header="720" w:top="1440" w:footer="720" w:bottom="777"/>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Wingdings">
    <w:charset w:val="02"/>
    <w:family w:val="auto"/>
    <w:pitch w:val="variable"/>
  </w:font>
  <w:font w:name="Arial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lang w:val="en-US"/>
      </w:rPr>
    </w:pPr>
    <w:r>
      <w:rPr>
        <w:lang w:val="en-US"/>
      </w:rPr>
    </w:r>
  </w:p>
  <w:p>
    <w:pPr>
      <w:pStyle w:val="Footer"/>
      <w:rPr>
        <w:sz w:val="18"/>
        <w:szCs w:val="18"/>
        <w:lang w:val="en-US"/>
      </w:rPr>
    </w:pPr>
    <w:r>
      <w:rPr>
        <w:i/>
        <w:iCs/>
        <w:lang w:val="en-US"/>
      </w:rPr>
      <w:t>Confidential and Proprietary</w:t>
    </w:r>
    <w:r>
      <w:rPr>
        <w:sz w:val="18"/>
        <w:szCs w:val="18"/>
        <w:lang w:val="en-US"/>
      </w:rPr>
      <w:t xml:space="preserve"> </w:t>
      <w:tab/>
      <w:t xml:space="preserve">Page </w:t>
    </w:r>
    <w:r>
      <w:rPr>
        <w:sz w:val="18"/>
        <w:szCs w:val="18"/>
        <w:lang w:val="en-US"/>
      </w:rPr>
      <w:drawing>
        <wp:anchor behindDoc="1" distT="0" distB="0" distL="0" distR="0" simplePos="0" locked="0" layoutInCell="1" allowOverlap="1" relativeHeight="3">
          <wp:simplePos x="0" y="0"/>
          <wp:positionH relativeFrom="column">
            <wp:posOffset>5029200</wp:posOffset>
          </wp:positionH>
          <wp:positionV relativeFrom="page">
            <wp:posOffset>9372600</wp:posOffset>
          </wp:positionV>
          <wp:extent cx="1380490" cy="311150"/>
          <wp:effectExtent l="0" t="0" r="0" b="0"/>
          <wp:wrapNone/>
          <wp:docPr id="2"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black background with a black square&#10;&#10;Description automatically generated with medium confidence"/>
                  <pic:cNvPicPr>
                    <a:picLocks noChangeAspect="1" noChangeArrowheads="1"/>
                  </pic:cNvPicPr>
                </pic:nvPicPr>
                <pic:blipFill>
                  <a:blip r:embed="rId1"/>
                  <a:stretch>
                    <a:fillRect/>
                  </a:stretch>
                </pic:blipFill>
                <pic:spPr bwMode="auto">
                  <a:xfrm>
                    <a:off x="0" y="0"/>
                    <a:ext cx="1380490" cy="311150"/>
                  </a:xfrm>
                  <a:prstGeom prst="rect">
                    <a:avLst/>
                  </a:prstGeom>
                </pic:spPr>
              </pic:pic>
            </a:graphicData>
          </a:graphic>
        </wp:anchor>
      </w:drawing>
      <w:fldChar w:fldCharType="begin"/>
    </w:r>
    <w:r>
      <w:rPr>
        <w:sz w:val="18"/>
        <w:szCs w:val="18"/>
        <w:lang w:val="en-US"/>
      </w:rPr>
      <w:instrText xml:space="preserve"> PAGE </w:instrText>
    </w:r>
    <w:r>
      <w:rPr>
        <w:sz w:val="18"/>
        <w:szCs w:val="18"/>
        <w:lang w:val="en-US"/>
      </w:rPr>
      <w:fldChar w:fldCharType="separate"/>
    </w:r>
    <w:r>
      <w:rPr>
        <w:sz w:val="18"/>
        <w:szCs w:val="18"/>
        <w:lang w:val="en-US"/>
      </w:rPr>
      <w:t>2</w:t>
    </w:r>
    <w:r>
      <w:rPr>
        <w:sz w:val="18"/>
        <w:szCs w:val="18"/>
        <w:lang w:val="en-US"/>
      </w:rP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right" w:pos="9360" w:leader="none"/>
      </w:tabs>
      <w:rPr>
        <w:i/>
        <w:i/>
        <w:iCs/>
        <w:sz w:val="18"/>
        <w:szCs w:val="18"/>
        <w:lang w:val="en-US"/>
      </w:rPr>
    </w:pPr>
    <w:r>
      <w:rPr>
        <w:i/>
        <w:iCs/>
        <w:sz w:val="18"/>
        <w:szCs w:val="18"/>
        <w:lang w:val="en-US"/>
      </w:rPr>
    </w:r>
  </w:p>
  <w:p>
    <w:pPr>
      <w:pStyle w:val="Footer"/>
      <w:rPr>
        <w:sz w:val="18"/>
        <w:szCs w:val="18"/>
        <w:lang w:val="en-US"/>
      </w:rPr>
    </w:pPr>
    <w:r>
      <w:rPr>
        <w:i/>
        <w:iCs/>
        <w:sz w:val="18"/>
        <w:szCs w:val="18"/>
        <w:lang w:val="en-US"/>
      </w:rPr>
      <w:t>Confidential and Proprietary</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Basic Salary increase, if any, will take effect as described in Appendix A, Section II B.</w:t>
      </w:r>
    </w:p>
  </w:footnote>
  <w:footnote w:id="3">
    <w:p>
      <w:pPr>
        <w:pStyle w:val="FootnoteText"/>
        <w:rPr>
          <w:rFonts w:eastAsia="Calibri"/>
          <w:lang w:val="en-US"/>
        </w:rPr>
      </w:pPr>
      <w:r>
        <w:rPr>
          <w:rStyle w:val="FootnoteCharacters"/>
        </w:rPr>
        <w:footnoteRef/>
      </w:r>
      <w:r>
        <w:rPr/>
        <w:t xml:space="preserve"> </w:t>
      </w:r>
      <w:r>
        <w:rPr>
          <w:rFonts w:eastAsia="Calibri"/>
          <w:lang w:val="en-US"/>
        </w:rPr>
        <w:t>Company Deposit is a deposit from employees for any Company loss in the course of their employment or at the time of termination of employment.  This amount will be recovered only as per the provisions of the Gratuity Act and in no other circumstances is this amount payable in cash, any other digital mode of currency or any digital mode of payment.  Eligibility for Gratuity will be as per the Gratuity Act.</w:t>
      </w:r>
    </w:p>
  </w:footnote>
  <w:footnote w:id="4">
    <w:p>
      <w:pPr>
        <w:pStyle w:val="FootnoteText"/>
        <w:rPr>
          <w:lang w:val="en-US"/>
        </w:rPr>
      </w:pPr>
      <w:r>
        <w:rPr>
          <w:rStyle w:val="FootnoteCharacters"/>
        </w:rPr>
        <w:footnoteRef/>
      </w:r>
      <w:r>
        <w:rPr/>
        <w:t xml:space="preserve"> </w:t>
      </w:r>
      <w:r>
        <w:rPr/>
        <w:t xml:space="preserve">Any </w:t>
      </w:r>
      <w:r>
        <w:rPr>
          <w:rFonts w:eastAsia="Calibri"/>
          <w:lang w:val="en-US"/>
        </w:rPr>
        <w:t>bonuses will be determined and will be paid as described in Appendix A, Section II C.</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center" w:pos="7920" w:leader="none"/>
      </w:tabs>
      <w:rPr>
        <w:sz w:val="18"/>
        <w:szCs w:val="18"/>
        <w:lang w:val="en-US"/>
      </w:rPr>
    </w:pPr>
    <w:r>
      <w:rPr>
        <w:sz w:val="18"/>
        <w:szCs w:val="18"/>
        <w:lang w:val="en-US"/>
      </w:rPr>
      <w:tab/>
      <w:t>2025 Compensation Plans</w:t>
    </w:r>
  </w:p>
  <w:p>
    <w:pPr>
      <w:pStyle w:val="Header"/>
      <w:tabs>
        <w:tab w:val="clear" w:pos="4680"/>
        <w:tab w:val="clear" w:pos="9360"/>
        <w:tab w:val="center" w:pos="7920" w:leader="none"/>
      </w:tabs>
      <w:rPr>
        <w:sz w:val="18"/>
        <w:szCs w:val="18"/>
        <w:lang w:val="en-US"/>
      </w:rPr>
    </w:pPr>
    <w:r>
      <w:rPr>
        <w:sz w:val="18"/>
        <w:szCs w:val="18"/>
        <w:lang w:val="en-US"/>
      </w:rPr>
      <w:tab/>
    </w:r>
    <w:r>
      <w:rPr>
        <w:sz w:val="18"/>
        <w:szCs w:val="18"/>
        <w:lang w:val="en-US"/>
      </w:rPr>
      <w:fldChar w:fldCharType="begin"/>
    </w:r>
    <w:r>
      <w:rPr>
        <w:sz w:val="18"/>
        <w:szCs w:val="18"/>
        <w:lang w:val="en-US"/>
      </w:rPr>
      <w:instrText xml:space="preserve"> DATE \@"MMMM\ d', 'yyyy" </w:instrText>
    </w:r>
    <w:r>
      <w:rPr>
        <w:sz w:val="18"/>
        <w:szCs w:val="18"/>
        <w:lang w:val="en-US"/>
      </w:rPr>
      <w:fldChar w:fldCharType="separate"/>
    </w:r>
    <w:r>
      <w:rPr>
        <w:sz w:val="18"/>
        <w:szCs w:val="18"/>
        <w:lang w:val="en-US"/>
      </w:rPr>
      <w:t>March 3, 2025</w:t>
    </w:r>
    <w:r>
      <w:rPr>
        <w:sz w:val="18"/>
        <w:szCs w:val="18"/>
        <w:lang w:val="en-US"/>
      </w:rPr>
      <w:fldChar w:fldCharType="end"/>
    </w:r>
  </w:p>
  <w:p>
    <w:pPr>
      <w:pStyle w:val="Header"/>
      <w:tabs>
        <w:tab w:val="clear" w:pos="4680"/>
        <w:tab w:val="clear" w:pos="9360"/>
        <w:tab w:val="center" w:pos="7920" w:leader="none"/>
      </w:tabs>
      <w:rPr>
        <w:sz w:val="18"/>
        <w:szCs w:val="18"/>
        <w:lang w:val="en-US"/>
      </w:rPr>
    </w:pPr>
    <w:r>
      <w:rPr>
        <w:sz w:val="18"/>
        <w:szCs w:val="18"/>
        <w:lang w:val="en-US"/>
      </w:rPr>
      <w:tab/>
      <w:t>continued</w:t>
    </w:r>
  </w:p>
  <w:p>
    <w:pPr>
      <w:pStyle w:val="Header"/>
      <w:tabs>
        <w:tab w:val="clear" w:pos="4680"/>
        <w:tab w:val="clear" w:pos="9360"/>
        <w:tab w:val="center" w:pos="7920" w:leader="none"/>
      </w:tabs>
      <w:rPr>
        <w:sz w:val="18"/>
        <w:szCs w:val="18"/>
        <w:lang w:val="en-US"/>
      </w:rPr>
    </w:pPr>
    <w:r>
      <w:rPr>
        <w:sz w:val="18"/>
        <w:szCs w:val="18"/>
        <w:lang w:val="en-US"/>
      </w:rPr>
    </w:r>
  </w:p>
  <w:p>
    <w:pPr>
      <w:pStyle w:val="Header"/>
      <w:tabs>
        <w:tab w:val="clear" w:pos="4680"/>
        <w:tab w:val="clear" w:pos="9360"/>
        <w:tab w:val="center" w:pos="7920" w:leader="none"/>
      </w:tabs>
      <w:rPr>
        <w:sz w:val="18"/>
        <w:szCs w:val="18"/>
        <w:lang w:val="en-US"/>
      </w:rPr>
    </w:pPr>
    <w:r>
      <w:rPr>
        <w:sz w:val="18"/>
        <w:szCs w:val="18"/>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2">
          <wp:simplePos x="0" y="0"/>
          <wp:positionH relativeFrom="column">
            <wp:posOffset>4114800</wp:posOffset>
          </wp:positionH>
          <wp:positionV relativeFrom="paragraph">
            <wp:posOffset>635</wp:posOffset>
          </wp:positionV>
          <wp:extent cx="2269490" cy="511810"/>
          <wp:effectExtent l="0" t="0" r="0" b="0"/>
          <wp:wrapNone/>
          <wp:docPr id="1" name="Image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A black background with a black square&#10;&#10;Description automatically generated with medium confidence"/>
                  <pic:cNvPicPr>
                    <a:picLocks noChangeAspect="1" noChangeArrowheads="1"/>
                  </pic:cNvPicPr>
                </pic:nvPicPr>
                <pic:blipFill>
                  <a:blip r:embed="rId1"/>
                  <a:stretch>
                    <a:fillRect/>
                  </a:stretch>
                </pic:blipFill>
                <pic:spPr bwMode="auto">
                  <a:xfrm>
                    <a:off x="0" y="0"/>
                    <a:ext cx="2269490" cy="511810"/>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Wingdings" w:hAnsi="Wingdings" w:cs="Wingdings" w:hint="default"/>
      </w:rPr>
    </w:lvl>
    <w:lvl w:ilvl="4">
      <w:start w:val="1"/>
      <w:numFmt w:val="bullet"/>
      <w:lvlText w:val=""/>
      <w:lvlJc w:val="left"/>
      <w:pPr>
        <w:tabs>
          <w:tab w:val="num" w:pos="0"/>
        </w:tabs>
        <w:ind w:left="1800" w:hanging="360"/>
      </w:pPr>
      <w:rPr>
        <w:rFonts w:ascii="Wingdings" w:hAnsi="Wingdings" w:cs="Wingdings"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lvl w:ilvl="0">
      <w:start w:val="1"/>
      <w:numFmt w:val="upperRoman"/>
      <w:lvlText w:val="%1."/>
      <w:lvlJc w:val="left"/>
      <w:pPr>
        <w:tabs>
          <w:tab w:val="num" w:pos="720"/>
        </w:tabs>
        <w:ind w:left="720" w:hanging="720"/>
      </w:pPr>
      <w:rPr>
        <w:sz w:val="24"/>
        <w:i w:val="false"/>
        <w:b/>
        <w:szCs w:val="24"/>
        <w:iCs w:val="false"/>
        <w:bCs/>
        <w:rFonts w:ascii="Arial Bold" w:hAnsi="Arial Bold"/>
      </w:rPr>
    </w:lvl>
    <w:lvl w:ilvl="1">
      <w:start w:val="1"/>
      <w:numFmt w:val="upperLetter"/>
      <w:lvlText w:val="%2."/>
      <w:lvlJc w:val="left"/>
      <w:pPr>
        <w:tabs>
          <w:tab w:val="num" w:pos="1440"/>
        </w:tabs>
        <w:ind w:left="1440" w:hanging="720"/>
      </w:pPr>
      <w:rPr>
        <w:sz w:val="22"/>
        <w:i w:val="false"/>
        <w:b w:val="false"/>
        <w:szCs w:val="22"/>
        <w:iCs/>
        <w:bCs w:val="false"/>
        <w:rFonts w:ascii="Arial" w:hAnsi="Arial"/>
        <w:color w:val="auto"/>
      </w:rPr>
    </w:lvl>
    <w:lvl w:ilvl="2">
      <w:start w:val="1"/>
      <w:numFmt w:val="decimal"/>
      <w:lvlText w:val="%3."/>
      <w:lvlJc w:val="left"/>
      <w:pPr>
        <w:tabs>
          <w:tab w:val="num" w:pos="2160"/>
        </w:tabs>
        <w:ind w:left="2160" w:hanging="720"/>
      </w:pPr>
      <w:rPr>
        <w:sz w:val="22"/>
        <w:i w:val="false"/>
        <w:b w:val="false"/>
        <w:szCs w:val="22"/>
        <w:rFonts w:ascii="Arial" w:hAnsi="Arial"/>
      </w:rPr>
    </w:lvl>
    <w:lvl w:ilvl="3">
      <w:start w:val="1"/>
      <w:numFmt w:val="lowerLetter"/>
      <w:lvlText w:val="%4."/>
      <w:lvlJc w:val="left"/>
      <w:pPr>
        <w:tabs>
          <w:tab w:val="num" w:pos="2880"/>
        </w:tabs>
        <w:ind w:left="2880" w:hanging="720"/>
      </w:pPr>
      <w:rPr>
        <w:sz w:val="20"/>
        <w:i w:val="false"/>
        <w:b w:val="false"/>
        <w:szCs w:val="20"/>
        <w:iCs w:val="false"/>
        <w:bCs w:val="false"/>
        <w:rFonts w:ascii="Arial" w:hAnsi="Arial"/>
      </w:rPr>
    </w:lvl>
    <w:lvl w:ilvl="4">
      <w:start w:val="1"/>
      <w:numFmt w:val="lowerRoman"/>
      <w:lvlText w:val="%5."/>
      <w:lvlJc w:val="left"/>
      <w:pPr>
        <w:tabs>
          <w:tab w:val="num" w:pos="0"/>
        </w:tabs>
        <w:ind w:left="3600" w:hanging="720"/>
      </w:pPr>
      <w:rPr>
        <w:sz w:val="20"/>
        <w:i w:val="false"/>
        <w:b w:val="false"/>
        <w:szCs w:val="20"/>
        <w:iCs w:val="false"/>
        <w:bCs w:val="false"/>
        <w:rFonts w:ascii="Arial" w:hAnsi="Arial"/>
      </w:rPr>
    </w:lvl>
    <w:lvl w:ilvl="5">
      <w:start w:val="1"/>
      <w:numFmt w:val="bullet"/>
      <w:lvlText w:val=""/>
      <w:lvlJc w:val="left"/>
      <w:pPr>
        <w:tabs>
          <w:tab w:val="num" w:pos="0"/>
        </w:tabs>
        <w:ind w:left="3960" w:hanging="360"/>
      </w:pPr>
      <w:rPr>
        <w:rFonts w:ascii="Symbol" w:hAnsi="Symbol" w:cs="Symbol" w:hint="default"/>
        <w:sz w:val="20"/>
        <w:i w:val="false"/>
        <w:b w:val="false"/>
        <w:szCs w:val="20"/>
        <w:iCs w:val="false"/>
        <w:bCs w:val="false"/>
      </w:rPr>
    </w:lvl>
    <w:lvl w:ilvl="6">
      <w:start w:val="1"/>
      <w:numFmt w:val="bullet"/>
      <w:lvlText w:val=""/>
      <w:lvlJc w:val="left"/>
      <w:pPr>
        <w:tabs>
          <w:tab w:val="num" w:pos="4320"/>
        </w:tabs>
        <w:ind w:left="4320" w:hanging="360"/>
      </w:pPr>
      <w:rPr>
        <w:rFonts w:ascii="Symbol" w:hAnsi="Symbol" w:cs="Symbol" w:hint="default"/>
        <w:sz w:val="20"/>
        <w:i w:val="false"/>
        <w:b w:val="false"/>
        <w:szCs w:val="20"/>
        <w:iCs w:val="false"/>
        <w:bCs w:val="false"/>
      </w:rPr>
    </w:lvl>
    <w:lvl w:ilvl="7">
      <w:start w:val="1"/>
      <w:numFmt w:val="bullet"/>
      <w:lvlText w:val=""/>
      <w:lvlJc w:val="left"/>
      <w:pPr>
        <w:tabs>
          <w:tab w:val="num" w:pos="4680"/>
        </w:tabs>
        <w:ind w:left="4680" w:hanging="360"/>
      </w:pPr>
      <w:rPr>
        <w:rFonts w:ascii="Wingdings" w:hAnsi="Wingdings" w:cs="Wingdings" w:hint="default"/>
        <w:sz w:val="20"/>
        <w:i w:val="false"/>
        <w:b w:val="false"/>
        <w:szCs w:val="20"/>
        <w:iCs w:val="false"/>
        <w:bCs w:val="false"/>
      </w:rPr>
    </w:lvl>
    <w:lvl w:ilvl="8">
      <w:start w:val="1"/>
      <w:numFmt w:val="bullet"/>
      <w:lvlText w:val=""/>
      <w:lvlJc w:val="left"/>
      <w:pPr>
        <w:tabs>
          <w:tab w:val="num" w:pos="5040"/>
        </w:tabs>
        <w:ind w:left="5040" w:hanging="360"/>
      </w:pPr>
      <w:rPr>
        <w:rFonts w:ascii="Wingdings" w:hAnsi="Wingdings" w:cs="Wingdings" w:hint="default"/>
        <w:sz w:val="20"/>
        <w:i w:val="false"/>
        <w:b w:val="false"/>
        <w:szCs w:val="20"/>
        <w:iCs w:val="false"/>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1674"/>
    <w:pPr>
      <w:widowControl/>
      <w:bidi w:val="0"/>
      <w:spacing w:lineRule="auto" w:line="240" w:before="0" w:after="0"/>
      <w:jc w:val="left"/>
    </w:pPr>
    <w:rPr>
      <w:rFonts w:ascii="Arial" w:hAnsi="Arial" w:eastAsia="Arial" w:cs="Arial"/>
      <w:color w:val="auto"/>
      <w:kern w:val="0"/>
      <w:sz w:val="24"/>
      <w:szCs w:val="22"/>
      <w:lang w:val="en-US" w:eastAsia="en-US" w:bidi="ar-SA"/>
    </w:rPr>
  </w:style>
  <w:style w:type="paragraph" w:styleId="Heading1">
    <w:name w:val="Heading 1"/>
    <w:basedOn w:val="Normal"/>
    <w:next w:val="Normal"/>
    <w:uiPriority w:val="9"/>
    <w:qFormat/>
    <w:rsid w:val="000c1674"/>
    <w:pPr>
      <w:keepNext w:val="true"/>
      <w:keepLines/>
      <w:snapToGrid w:val="false"/>
      <w:spacing w:before="360" w:after="0"/>
      <w:outlineLvl w:val="0"/>
    </w:pPr>
    <w:rPr>
      <w:b/>
      <w:szCs w:val="40"/>
    </w:rPr>
  </w:style>
  <w:style w:type="paragraph" w:styleId="Heading2">
    <w:name w:val="Heading 2"/>
    <w:basedOn w:val="Normal"/>
    <w:next w:val="Normal"/>
    <w:uiPriority w:val="9"/>
    <w:unhideWhenUsed/>
    <w:qFormat/>
    <w:rsid w:val="009878db"/>
    <w:pPr>
      <w:keepNext w:val="true"/>
      <w:keepLines/>
      <w:spacing w:before="840" w:after="120"/>
      <w:outlineLvl w:val="1"/>
    </w:pPr>
    <w:rPr>
      <w:b/>
      <w:i/>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1b39"/>
    <w:rPr/>
  </w:style>
  <w:style w:type="character" w:styleId="FooterChar" w:customStyle="1">
    <w:name w:val="Footer Char"/>
    <w:basedOn w:val="DefaultParagraphFont"/>
    <w:link w:val="Footer"/>
    <w:uiPriority w:val="99"/>
    <w:qFormat/>
    <w:rsid w:val="003d3608"/>
    <w:rPr>
      <w:sz w:val="20"/>
    </w:rPr>
  </w:style>
  <w:style w:type="character" w:styleId="FootnoteTextChar" w:customStyle="1">
    <w:name w:val="Footnote Text Char"/>
    <w:basedOn w:val="DefaultParagraphFont"/>
    <w:link w:val="FootnoteText"/>
    <w:uiPriority w:val="99"/>
    <w:qFormat/>
    <w:rsid w:val="0000047b"/>
    <w:rPr>
      <w:sz w:val="20"/>
      <w:szCs w:val="20"/>
    </w:rPr>
  </w:style>
  <w:style w:type="character" w:styleId="FootnoteCharacters">
    <w:name w:val="Footnote Characters"/>
    <w:basedOn w:val="DefaultParagraphFont"/>
    <w:uiPriority w:val="99"/>
    <w:semiHidden/>
    <w:unhideWhenUsed/>
    <w:qFormat/>
    <w:rsid w:val="0000047b"/>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0c1674"/>
    <w:rPr>
      <w:color w:themeColor="hyperlink" w:val="0000FF"/>
      <w:u w:val="single"/>
    </w:rPr>
  </w:style>
  <w:style w:type="character" w:styleId="UnresolvedMention">
    <w:name w:val="Unresolved Mention"/>
    <w:basedOn w:val="DefaultParagraphFont"/>
    <w:uiPriority w:val="99"/>
    <w:semiHidden/>
    <w:unhideWhenUsed/>
    <w:qFormat/>
    <w:rsid w:val="000c1674"/>
    <w:rPr>
      <w:color w:val="605E5C"/>
      <w:shd w:fill="E1DFDD" w:val="clear"/>
    </w:rPr>
  </w:style>
  <w:style w:type="character" w:styleId="Pagenumber">
    <w:name w:val="page number"/>
    <w:basedOn w:val="DefaultParagraphFont"/>
    <w:uiPriority w:val="99"/>
    <w:semiHidden/>
    <w:unhideWhenUsed/>
    <w:qFormat/>
    <w:rsid w:val="00742694"/>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Revision">
    <w:name w:val="Revision"/>
    <w:uiPriority w:val="99"/>
    <w:semiHidden/>
    <w:qFormat/>
    <w:rsid w:val="00ea1386"/>
    <w:pPr>
      <w:widowControl/>
      <w:bidi w:val="0"/>
      <w:spacing w:lineRule="auto" w:line="240" w:before="0" w:after="0"/>
      <w:jc w:val="left"/>
    </w:pPr>
    <w:rPr>
      <w:rFonts w:ascii="Arial" w:hAnsi="Arial" w:eastAsia="Arial" w:cs="Arial"/>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a61b39"/>
    <w:pPr>
      <w:tabs>
        <w:tab w:val="clear" w:pos="720"/>
        <w:tab w:val="center" w:pos="4680" w:leader="none"/>
        <w:tab w:val="right" w:pos="9360" w:leader="none"/>
      </w:tabs>
    </w:pPr>
    <w:rPr/>
  </w:style>
  <w:style w:type="paragraph" w:styleId="Footer">
    <w:name w:val="Footer"/>
    <w:basedOn w:val="Normal"/>
    <w:link w:val="FooterChar"/>
    <w:uiPriority w:val="99"/>
    <w:unhideWhenUsed/>
    <w:rsid w:val="003d3608"/>
    <w:pPr>
      <w:tabs>
        <w:tab w:val="clear" w:pos="720"/>
        <w:tab w:val="center" w:pos="4680" w:leader="none"/>
        <w:tab w:val="right" w:pos="9360" w:leader="none"/>
      </w:tabs>
      <w:snapToGrid w:val="false"/>
    </w:pPr>
    <w:rPr>
      <w:sz w:val="20"/>
    </w:rPr>
  </w:style>
  <w:style w:type="paragraph" w:styleId="Bullets" w:customStyle="1">
    <w:name w:val="Bullets"/>
    <w:basedOn w:val="Normal"/>
    <w:qFormat/>
    <w:rsid w:val="00bb0a11"/>
    <w:pPr>
      <w:numPr>
        <w:ilvl w:val="0"/>
        <w:numId w:val="1"/>
      </w:numPr>
      <w:spacing w:before="120" w:after="0"/>
    </w:pPr>
    <w:rPr>
      <w:rFonts w:eastAsia="Cambria" w:cs="Times New Roman"/>
      <w:szCs w:val="24"/>
      <w:lang w:val="en-US"/>
    </w:rPr>
  </w:style>
  <w:style w:type="paragraph" w:styleId="ListParagraph">
    <w:name w:val="List Paragraph"/>
    <w:basedOn w:val="Normal"/>
    <w:uiPriority w:val="34"/>
    <w:qFormat/>
    <w:rsid w:val="00d04c98"/>
    <w:pPr>
      <w:spacing w:before="0" w:after="0"/>
      <w:ind w:left="720"/>
      <w:contextualSpacing/>
    </w:pPr>
    <w:rPr/>
  </w:style>
  <w:style w:type="paragraph" w:styleId="Outline-Legal" w:customStyle="1">
    <w:name w:val="Outline-Legal"/>
    <w:basedOn w:val="Normal"/>
    <w:qFormat/>
    <w:rsid w:val="00ce323e"/>
    <w:pPr>
      <w:numPr>
        <w:ilvl w:val="0"/>
        <w:numId w:val="2"/>
      </w:numPr>
      <w:spacing w:before="120" w:after="0"/>
    </w:pPr>
    <w:rPr>
      <w:rFonts w:eastAsia="Cambria" w:cs="Times New Roman"/>
      <w:szCs w:val="24"/>
      <w:lang w:val="en-US"/>
    </w:rPr>
  </w:style>
  <w:style w:type="paragraph" w:styleId="FootnoteText">
    <w:name w:val="Footnote Text"/>
    <w:basedOn w:val="Normal"/>
    <w:link w:val="FootnoteTextChar"/>
    <w:uiPriority w:val="99"/>
    <w:unhideWhenUsed/>
    <w:rsid w:val="0000047b"/>
    <w:pPr/>
    <w:rPr>
      <w:sz w:val="20"/>
      <w:szCs w:val="20"/>
    </w:rPr>
  </w:style>
  <w:style w:type="paragraph" w:styleId="TOC1">
    <w:name w:val="TOC 1"/>
    <w:basedOn w:val="Normal"/>
    <w:next w:val="Normal"/>
    <w:autoRedefine/>
    <w:uiPriority w:val="39"/>
    <w:unhideWhenUsed/>
    <w:rsid w:val="000c1674"/>
    <w:pPr>
      <w:tabs>
        <w:tab w:val="clear" w:pos="720"/>
        <w:tab w:val="right" w:pos="9000" w:leader="none"/>
      </w:tabs>
      <w:spacing w:before="0" w:after="100"/>
      <w:ind w:hanging="720" w:left="1080" w:right="360"/>
    </w:pPr>
    <w:rPr/>
  </w:style>
  <w:style w:type="paragraph" w:styleId="TOC2">
    <w:name w:val="TOC 2"/>
    <w:basedOn w:val="Normal"/>
    <w:next w:val="Normal"/>
    <w:autoRedefine/>
    <w:uiPriority w:val="39"/>
    <w:unhideWhenUsed/>
    <w:rsid w:val="000c1674"/>
    <w:pPr>
      <w:spacing w:lineRule="auto" w:line="276" w:before="0" w:after="100"/>
      <w:ind w:left="240"/>
    </w:pPr>
    <w:rPr>
      <w:rFonts w:ascii="Cambria" w:hAnsi="Cambria" w:eastAsia="" w:cs="" w:asciiTheme="minorHAnsi" w:cstheme="minorBidi" w:eastAsiaTheme="minorEastAsia" w:hAnsiTheme="minorHAnsi"/>
      <w:kern w:val="2"/>
      <w:szCs w:val="24"/>
      <w:lang w:val="en-US"/>
      <w14:ligatures w14:val="standardContextual"/>
    </w:rPr>
  </w:style>
  <w:style w:type="paragraph" w:styleId="TOC3">
    <w:name w:val="TOC 3"/>
    <w:basedOn w:val="Normal"/>
    <w:next w:val="Normal"/>
    <w:autoRedefine/>
    <w:uiPriority w:val="39"/>
    <w:unhideWhenUsed/>
    <w:rsid w:val="000c1674"/>
    <w:pPr>
      <w:spacing w:lineRule="auto" w:line="276" w:before="0" w:after="100"/>
      <w:ind w:left="480"/>
    </w:pPr>
    <w:rPr>
      <w:rFonts w:ascii="Cambria" w:hAnsi="Cambria" w:eastAsia="" w:cs="" w:asciiTheme="minorHAnsi" w:cstheme="minorBidi" w:eastAsiaTheme="minorEastAsia" w:hAnsiTheme="minorHAnsi"/>
      <w:kern w:val="2"/>
      <w:szCs w:val="24"/>
      <w:lang w:val="en-US"/>
      <w14:ligatures w14:val="standardContextual"/>
    </w:rPr>
  </w:style>
  <w:style w:type="paragraph" w:styleId="TOC4">
    <w:name w:val="TOC 4"/>
    <w:basedOn w:val="Normal"/>
    <w:next w:val="Normal"/>
    <w:autoRedefine/>
    <w:uiPriority w:val="39"/>
    <w:unhideWhenUsed/>
    <w:rsid w:val="000c1674"/>
    <w:pPr>
      <w:spacing w:lineRule="auto" w:line="276" w:before="0" w:after="100"/>
      <w:ind w:left="720"/>
    </w:pPr>
    <w:rPr>
      <w:rFonts w:ascii="Cambria" w:hAnsi="Cambria" w:eastAsia="" w:cs="" w:asciiTheme="minorHAnsi" w:cstheme="minorBidi" w:eastAsiaTheme="minorEastAsia" w:hAnsiTheme="minorHAnsi"/>
      <w:kern w:val="2"/>
      <w:szCs w:val="24"/>
      <w:lang w:val="en-US"/>
      <w14:ligatures w14:val="standardContextual"/>
    </w:rPr>
  </w:style>
  <w:style w:type="paragraph" w:styleId="TOC5">
    <w:name w:val="TOC 5"/>
    <w:basedOn w:val="Normal"/>
    <w:next w:val="Normal"/>
    <w:autoRedefine/>
    <w:uiPriority w:val="39"/>
    <w:unhideWhenUsed/>
    <w:rsid w:val="000c1674"/>
    <w:pPr>
      <w:spacing w:lineRule="auto" w:line="276" w:before="0" w:after="100"/>
      <w:ind w:left="960"/>
    </w:pPr>
    <w:rPr>
      <w:rFonts w:ascii="Cambria" w:hAnsi="Cambria" w:eastAsia="" w:cs="" w:asciiTheme="minorHAnsi" w:cstheme="minorBidi" w:eastAsiaTheme="minorEastAsia" w:hAnsiTheme="minorHAnsi"/>
      <w:kern w:val="2"/>
      <w:szCs w:val="24"/>
      <w:lang w:val="en-US"/>
      <w14:ligatures w14:val="standardContextual"/>
    </w:rPr>
  </w:style>
  <w:style w:type="paragraph" w:styleId="TOC6">
    <w:name w:val="TOC 6"/>
    <w:basedOn w:val="Normal"/>
    <w:next w:val="Normal"/>
    <w:autoRedefine/>
    <w:uiPriority w:val="39"/>
    <w:unhideWhenUsed/>
    <w:rsid w:val="000c1674"/>
    <w:pPr>
      <w:spacing w:lineRule="auto" w:line="276" w:before="0" w:after="100"/>
      <w:ind w:left="1200"/>
    </w:pPr>
    <w:rPr>
      <w:rFonts w:ascii="Cambria" w:hAnsi="Cambria" w:eastAsia="" w:cs="" w:asciiTheme="minorHAnsi" w:cstheme="minorBidi" w:eastAsiaTheme="minorEastAsia" w:hAnsiTheme="minorHAnsi"/>
      <w:kern w:val="2"/>
      <w:szCs w:val="24"/>
      <w:lang w:val="en-US"/>
      <w14:ligatures w14:val="standardContextual"/>
    </w:rPr>
  </w:style>
  <w:style w:type="paragraph" w:styleId="TOC7">
    <w:name w:val="TOC 7"/>
    <w:basedOn w:val="Normal"/>
    <w:next w:val="Normal"/>
    <w:autoRedefine/>
    <w:uiPriority w:val="39"/>
    <w:unhideWhenUsed/>
    <w:rsid w:val="000c1674"/>
    <w:pPr>
      <w:spacing w:lineRule="auto" w:line="276" w:before="0" w:after="100"/>
      <w:ind w:left="1440"/>
    </w:pPr>
    <w:rPr>
      <w:rFonts w:ascii="Cambria" w:hAnsi="Cambria" w:eastAsia="" w:cs="" w:asciiTheme="minorHAnsi" w:cstheme="minorBidi" w:eastAsiaTheme="minorEastAsia" w:hAnsiTheme="minorHAnsi"/>
      <w:kern w:val="2"/>
      <w:szCs w:val="24"/>
      <w:lang w:val="en-US"/>
      <w14:ligatures w14:val="standardContextual"/>
    </w:rPr>
  </w:style>
  <w:style w:type="paragraph" w:styleId="TOC8">
    <w:name w:val="TOC 8"/>
    <w:basedOn w:val="Normal"/>
    <w:next w:val="Normal"/>
    <w:autoRedefine/>
    <w:uiPriority w:val="39"/>
    <w:unhideWhenUsed/>
    <w:rsid w:val="000c1674"/>
    <w:pPr>
      <w:spacing w:lineRule="auto" w:line="276" w:before="0" w:after="100"/>
      <w:ind w:left="1680"/>
    </w:pPr>
    <w:rPr>
      <w:rFonts w:ascii="Cambria" w:hAnsi="Cambria" w:eastAsia="" w:cs="" w:asciiTheme="minorHAnsi" w:cstheme="minorBidi" w:eastAsiaTheme="minorEastAsia" w:hAnsiTheme="minorHAnsi"/>
      <w:kern w:val="2"/>
      <w:szCs w:val="24"/>
      <w:lang w:val="en-US"/>
      <w14:ligatures w14:val="standardContextual"/>
    </w:rPr>
  </w:style>
  <w:style w:type="paragraph" w:styleId="TOC9">
    <w:name w:val="TOC 9"/>
    <w:basedOn w:val="Normal"/>
    <w:next w:val="Normal"/>
    <w:autoRedefine/>
    <w:uiPriority w:val="39"/>
    <w:unhideWhenUsed/>
    <w:rsid w:val="000c1674"/>
    <w:pPr>
      <w:spacing w:lineRule="auto" w:line="276" w:before="0" w:after="100"/>
      <w:ind w:left="1920"/>
    </w:pPr>
    <w:rPr>
      <w:rFonts w:ascii="Cambria" w:hAnsi="Cambria" w:eastAsia="" w:cs="" w:asciiTheme="minorHAnsi" w:cstheme="minorBidi" w:eastAsiaTheme="minorEastAsia" w:hAnsiTheme="minorHAnsi"/>
      <w:kern w:val="2"/>
      <w:szCs w:val="24"/>
      <w:lang w:val="en-US"/>
      <w14:ligatures w14:val="standardContextual"/>
    </w:rPr>
  </w:style>
  <w:style w:type="numbering" w:styleId="NoList" w:default="1">
    <w:name w:val="No List"/>
    <w:uiPriority w:val="99"/>
    <w:semiHidden/>
    <w:unhideWhenUsed/>
    <w:qFormat/>
  </w:style>
  <w:style w:type="numbering" w:styleId="CurrentList1" w:customStyle="1">
    <w:name w:val="Current List1"/>
    <w:uiPriority w:val="99"/>
    <w:qFormat/>
    <w:rsid w:val="00da3aaa"/>
  </w:style>
  <w:style w:type="numbering" w:styleId="CurrentList2" w:customStyle="1">
    <w:name w:val="Current List2"/>
    <w:uiPriority w:val="99"/>
    <w:qFormat/>
    <w:rsid w:val="00da3aaa"/>
  </w:style>
  <w:style w:type="numbering" w:styleId="CurrentList3" w:customStyle="1">
    <w:name w:val="Current List3"/>
    <w:uiPriority w:val="99"/>
    <w:qFormat/>
    <w:rsid w:val="00da3aaa"/>
  </w:style>
  <w:style w:type="numbering" w:styleId="CurrentList4" w:customStyle="1">
    <w:name w:val="Current List4"/>
    <w:uiPriority w:val="99"/>
    <w:qFormat/>
    <w:rsid w:val="000c1674"/>
  </w:style>
  <w:style w:type="numbering" w:styleId="CurrentList5" w:customStyle="1">
    <w:name w:val="Current List5"/>
    <w:uiPriority w:val="99"/>
    <w:qFormat/>
    <w:rsid w:val="000c1674"/>
  </w:style>
  <w:style w:type="numbering" w:styleId="CurrentList6" w:customStyle="1">
    <w:name w:val="Current List6"/>
    <w:uiPriority w:val="99"/>
    <w:qFormat/>
    <w:rsid w:val="00196fc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e522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TotalTime>
  <Application>LibreOffice/7.6.5.2$Windows_X86_64 LibreOffice_project/38d5f62f85355c192ef5f1dd47c5c0c0c6d6598b</Application>
  <AppVersion>15.0000</AppVersion>
  <Pages>2</Pages>
  <Words>437</Words>
  <Characters>2237</Characters>
  <CharactersWithSpaces>2639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2025-02-27T08:59:00Z</dcterms:created>
  <dc:creator/>
  <dc:description/>
  <dc:language>en-US</dc:language>
  <cp:lastModifiedBy/>
  <cp:lastPrinted>2025-02-25T20:44:00Z</cp:lastPrinted>
  <dcterms:modified xsi:type="dcterms:W3CDTF">2025-03-03T12:54:59Z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