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 w:after="200"/>
      </w:pPr>
      <w:r>
        <w:t>Redflag</w:t>
      </w:r>
    </w:p>
    <w:p>
      <w:pPr>
        <w:spacing w:after="360"/>
        <w:pBdr>
          <w:top w:val="nil" w:sz="0" w:space="3" w:color="000000" tmln="20, 20, 20, 0, 60"/>
          <w:left w:val="nil" w:sz="0" w:space="3" w:color="000000" tmln="20, 20, 20, 0, 60"/>
          <w:bottom w:val="single" w:sz="8" w:space="6" w:color="2F5496" tmln="20, 20, 20, 0, 1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color w:val="404040"/>
          <w:sz w:val="30"/>
          <w:szCs w:val="30"/>
        </w:rPr>
        <w:t>Project Requirements Specification</w:t>
      </w:r>
      <w:r/>
    </w:p>
    <w:p>
      <w:pPr>
        <w:pStyle w:val="para2"/>
      </w:pPr>
      <w:r>
        <w:t>1. Project overview</w:t>
      </w:r>
    </w:p>
    <w:p>
      <w:pPr>
        <w:spacing w:after="120" w:line="276" w:lineRule="auto"/>
      </w:pPr>
      <w:r>
        <w:t>Redflag is an AI application security assessment platform that helps developers test whether their LLM applications, RAG systems, AI agents, and MCP-connected tools are secure and whether their guardrails work as intended.</w:t>
      </w:r>
    </w:p>
    <w:p>
      <w:pPr>
        <w:spacing w:after="120" w:line="276" w:lineRule="auto"/>
      </w:pPr>
      <w:r>
        <w:rPr>
          <w:b/>
          <w:bCs/>
        </w:rPr>
        <w:t xml:space="preserve">Core workflow: </w:t>
      </w:r>
      <w:r>
        <w:t>Connect an AI application → define its intended behavior → run security tests → review evidence and vulnerabilities → fix issues → retest.</w:t>
      </w:r>
    </w:p>
    <w:p>
      <w:pPr>
        <w:spacing w:after="120" w:line="276" w:lineRule="auto"/>
      </w:pPr>
      <w:r>
        <w:t>The goal is to build a practical, extensible platform based on OWASP guidance, custom security policies, and evidence-based testing—not to claim that any application is completely secure.</w:t>
      </w:r>
    </w:p>
    <w:p>
      <w:pPr>
        <w:pStyle w:val="para2"/>
      </w:pPr>
      <w:r>
        <w:t>2. Functional requirements</w:t>
      </w:r>
    </w:p>
    <w:p>
      <w:pPr>
        <w:pStyle w:val="para3"/>
      </w:pPr>
      <w:r>
        <w:t>A. Project setup and target integration</w:t>
      </w:r>
    </w:p>
    <w:tbl>
      <w:tblPr>
        <w:name w:val="Table1"/>
        <w:tabOrder w:val="0"/>
        <w:jc w:val="left"/>
        <w:tblInd w:w="0" w:type="dxa"/>
        <w:tblW w:w="9026" w:type="dxa"/>
      </w:tblPr>
      <w:tblGrid>
        <w:gridCol w:w="900"/>
        <w:gridCol w:w="2300"/>
        <w:gridCol w:w="5826"/>
      </w:tblGrid>
      <w:tr>
        <w:trPr>
          <w:tblHeader/>
          <w:cantSplit w:val="0"/>
          <w:trHeight w:val="0" w:hRule="auto"/>
        </w:trPr>
        <w:tc>
          <w:tcPr>
            <w:tcW w:w="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23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58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Expected behavior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FR-01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Project management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Users can create, edit, view, and delete security assessment projects.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FR-02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Built-in demo targets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Provide vulnerable and hardened demo AI applications for testing without connecting an external service.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FR-03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HTTP integration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Connect to an AI application through a configurable chat/API endpoint.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FR-04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MCP integration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Connect to a supported MCP server and inspect available tools and schemas.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FR-05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Connection validation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Verify connectivity, supported protocol, authentication configuration, and basic target functionality.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FR-06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Target configuration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Store target settings, model information, and test configuration securely.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FR-07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Safe execution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Use synthetic data and simulated tools for the public demo; restrict risky write operations to explicitly authorized, isolated environments.</w:t>
            </w:r>
            <w:r/>
          </w:p>
        </w:tc>
      </w:tr>
    </w:tbl>
    <w:p>
      <w:pPr>
        <w:spacing w:after="120"/>
      </w:pPr>
      <w:r/>
    </w:p>
    <w:p>
      <w:pPr>
        <w:pStyle w:val="para3"/>
      </w:pPr>
      <w:r>
        <w:t>B. Security policy and guardrail configuration</w:t>
      </w:r>
    </w:p>
    <w:tbl>
      <w:tblPr>
        <w:name w:val="Table2"/>
        <w:tabOrder w:val="0"/>
        <w:jc w:val="left"/>
        <w:tblInd w:w="0" w:type="dxa"/>
        <w:tblW w:w="9026" w:type="dxa"/>
      </w:tblPr>
      <w:tblGrid>
        <w:gridCol w:w="900"/>
        <w:gridCol w:w="2300"/>
        <w:gridCol w:w="5826"/>
      </w:tblGrid>
      <w:tr>
        <w:trPr>
          <w:tblHeader/>
          <w:cantSplit w:val="0"/>
          <w:trHeight w:val="0" w:hRule="auto"/>
        </w:trPr>
        <w:tc>
          <w:tcPr>
            <w:tcW w:w="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23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58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Expected behavior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FR-08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Natural-language policy builder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Users describe the AI's purpose, allowed actions, forbidden actions, data restrictions, and tool permissions.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FR-09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Structured policy generation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An LLM converts the description into a structured, editable policy.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FR-10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Policy review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Users review and approve rules before tests are generated. Ambiguous rules are highlighted.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FR-11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Guardrail testing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Test whether the AI blocks forbidden behavior without unnecessarily blocking legitimate requests.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FR-12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Policy versioning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Save policy versions so users can compare security results after policy changes.</w:t>
            </w:r>
            <w:r/>
          </w:p>
        </w:tc>
      </w:tr>
    </w:tbl>
    <w:p>
      <w:pPr>
        <w:spacing w:after="120"/>
      </w:pPr>
      <w:r/>
    </w:p>
    <w:p>
      <w:pPr>
        <w:spacing w:after="120" w:line="276" w:lineRule="auto"/>
        <w:keepNext/>
      </w:pPr>
      <w:r>
        <w:rPr>
          <w:b/>
          <w:bCs/>
        </w:rPr>
        <w:t>Example policy</w:t>
      </w:r>
      <w:r/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t>Allowed: Read mechanical drawings and measure components.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t>Allowed: Generate reports from approved project data.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t>Forbidden: Modify approved drawings without authorization.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t>Forbidden: Reveal confidential project files to unauthorized users.</w:t>
      </w:r>
    </w:p>
    <w:p>
      <w:pPr>
        <w:spacing w:after="120"/>
      </w:pPr>
      <w:r/>
    </w:p>
    <w:p>
      <w:pPr>
        <w:pStyle w:val="para3"/>
      </w:pPr>
      <w:r>
        <w:t>C. OWASP and security test generation</w:t>
      </w:r>
    </w:p>
    <w:tbl>
      <w:tblPr>
        <w:name w:val="Table3"/>
        <w:tabOrder w:val="0"/>
        <w:jc w:val="left"/>
        <w:tblInd w:w="0" w:type="dxa"/>
        <w:tblW w:w="9026" w:type="dxa"/>
      </w:tblPr>
      <w:tblGrid>
        <w:gridCol w:w="900"/>
        <w:gridCol w:w="2300"/>
        <w:gridCol w:w="5826"/>
      </w:tblGrid>
      <w:tr>
        <w:trPr>
          <w:tblHeader/>
          <w:cantSplit w:val="0"/>
          <w:trHeight w:val="0" w:hRule="auto"/>
        </w:trPr>
        <w:tc>
          <w:tcPr>
            <w:tcW w:w="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23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58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Expected behavior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FR-13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OWASP risk catalog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Maintain a versioned catalog of relevant OWASP LLM application risks and test mappings.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FR-14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Attack library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Provide reusable attacks for prompt injection, sensitive information disclosure, unsafe output handling, excessive agency, and other supported risks.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FR-15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Policy-based scenarios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Generate tests directly from the user's approved policies.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FR-16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Positive tests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Verify that normal, authorized requests still work.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FR-17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Negative tests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Verify that malicious or unauthorized requests are blocked.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FR-18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RAG security tests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Test retrieval permissions, document poisoning, and attempts to extract restricted information where applicable.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FR-19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Agent and MCP tests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Test tool permissions, unauthorized calls, parameter manipulation, and access-control enforcement.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FR-20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Multi-turn attacks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Test attacks that build across multiple conversation turns.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FR-21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Adaptive mutation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Generate variations of failed or partially successful attacks within configured limits.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FR-22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Scan configuration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Let users select test categories, scan depth, and execution budgets.</w:t>
            </w:r>
            <w:r/>
          </w:p>
        </w:tc>
      </w:tr>
    </w:tbl>
    <w:p>
      <w:pPr>
        <w:spacing w:after="120"/>
      </w:pPr>
      <w:r/>
    </w:p>
    <w:p>
      <w:pPr>
        <w:pStyle w:val="para3"/>
      </w:pPr>
      <w:r>
        <w:t>D. Test execution and verdicts</w:t>
      </w:r>
    </w:p>
    <w:tbl>
      <w:tblPr>
        <w:name w:val="Table4"/>
        <w:tabOrder w:val="0"/>
        <w:jc w:val="left"/>
        <w:tblInd w:w="0" w:type="dxa"/>
        <w:tblW w:w="9026" w:type="dxa"/>
      </w:tblPr>
      <w:tblGrid>
        <w:gridCol w:w="900"/>
        <w:gridCol w:w="2300"/>
        <w:gridCol w:w="5826"/>
      </w:tblGrid>
      <w:tr>
        <w:trPr>
          <w:tblHeader/>
          <w:cantSplit w:val="0"/>
          <w:trHeight w:val="0" w:hRule="auto"/>
        </w:trPr>
        <w:tc>
          <w:tcPr>
            <w:tcW w:w="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23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58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Expected behavior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FR-23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Scan execution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Run selected test cases against the configured target.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FR-24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Live progress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Display scan status, completed tests, failures, and errors.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FR-25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Evidence collection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Save relevant prompts, responses, tool calls, timestamps, and observed outcomes.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FR-26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Deterministic verification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Check known canary secrets, policy violations, and actual tool side effects when observable.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FR-27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LLM-assisted judging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Use a judge model for semantic cases that deterministic checks cannot reliably resolve.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FR-28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Verdict classification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Classify results as pass, fail, inconclusive, or error, with severity where justified.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FR-29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Judge validation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Compare judge decisions against manually labeled examples and report evaluation quality.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FR-30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Failure handling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Handle timeouts, provider errors, rate limits, and incomplete scans without silently treating them as passes.</w:t>
            </w:r>
            <w:r/>
          </w:p>
        </w:tc>
      </w:tr>
    </w:tbl>
    <w:p>
      <w:pPr>
        <w:spacing w:after="120"/>
      </w:pPr>
      <w:r/>
    </w:p>
    <w:p>
      <w:pPr>
        <w:pStyle w:val="para3"/>
      </w:pPr>
      <w:r>
        <w:t>E. Results, reports, and remediation</w:t>
      </w:r>
    </w:p>
    <w:tbl>
      <w:tblPr>
        <w:name w:val="Table5"/>
        <w:tabOrder w:val="0"/>
        <w:jc w:val="left"/>
        <w:tblInd w:w="0" w:type="dxa"/>
        <w:tblW w:w="9026" w:type="dxa"/>
      </w:tblPr>
      <w:tblGrid>
        <w:gridCol w:w="900"/>
        <w:gridCol w:w="2300"/>
        <w:gridCol w:w="5826"/>
      </w:tblGrid>
      <w:tr>
        <w:trPr>
          <w:tblHeader/>
          <w:cantSplit w:val="0"/>
          <w:trHeight w:val="0" w:hRule="auto"/>
        </w:trPr>
        <w:tc>
          <w:tcPr>
            <w:tcW w:w="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23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58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Expected behavior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FR-31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Security dashboard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Summarize findings, severity, test status, and category-level coverage.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FR-32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OWASP coverage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Show which risks were tested, passed, failed, or remain untested.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FR-33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Evidence-based findings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Show the relevant test, expected behavior, observed behavior, and supporting evidence.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FR-34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Security metrics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Calculate attack success rate (ASR) and other applicable metrics with sample sizes and uncertainty where appropriate.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FR-35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Remediation guidance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Recommend practical fixes linked to the relevant policy violation or risk.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FR-36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Before/after comparison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Compare the same benchmark against different target or guardrail configurations.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FR-37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Report export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Export findings and test summaries to Markdown and, if practical, PDF.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FR-38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Scan history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View previous runs and compare outcomes across policy, model, and configuration versions.</w:t>
            </w:r>
            <w:r/>
          </w:p>
        </w:tc>
      </w:tr>
    </w:tbl>
    <w:p>
      <w:pPr>
        <w:spacing w:after="120"/>
      </w:pPr>
      <w:r/>
    </w:p>
    <w:p>
      <w:pPr>
        <w:pStyle w:val="para3"/>
      </w:pPr>
      <w:r>
        <w:t>F. Regression testing and CI</w:t>
      </w:r>
    </w:p>
    <w:tbl>
      <w:tblPr>
        <w:name w:val="Table6"/>
        <w:tabOrder w:val="0"/>
        <w:jc w:val="left"/>
        <w:tblInd w:w="0" w:type="dxa"/>
        <w:tblW w:w="9026" w:type="dxa"/>
      </w:tblPr>
      <w:tblGrid>
        <w:gridCol w:w="900"/>
        <w:gridCol w:w="2300"/>
        <w:gridCol w:w="5826"/>
      </w:tblGrid>
      <w:tr>
        <w:trPr>
          <w:tblHeader/>
          <w:cantSplit w:val="0"/>
          <w:trHeight w:val="0" w:hRule="auto"/>
        </w:trPr>
        <w:tc>
          <w:tcPr>
            <w:tcW w:w="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23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58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Expected behavior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FR-39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Saved test suites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Save and rerun approved test cases after security changes.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FR-40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Regression detection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Identify vulnerabilities that return or legitimate behaviors that become blocked.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FR-41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CI integration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Provide a CLI or API that CI pipelines can use to launch scans.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FR-42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Pass/fail gate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Allow teams to configure thresholds that determine whether a build passes security checks.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FR-43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Scheduled scans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Support recurring scans when the deployment environment and available infrastructure permit them.</w:t>
            </w:r>
            <w:r/>
          </w:p>
        </w:tc>
      </w:tr>
    </w:tbl>
    <w:p>
      <w:pPr>
        <w:spacing w:after="120"/>
      </w:pPr>
      <w:r/>
    </w:p>
    <w:p>
      <w:pPr>
        <w:pStyle w:val="para3"/>
      </w:pPr>
      <w:r>
        <w:t>G. Model provider and platform management</w:t>
      </w:r>
    </w:p>
    <w:tbl>
      <w:tblPr>
        <w:name w:val="Table7"/>
        <w:tabOrder w:val="0"/>
        <w:jc w:val="left"/>
        <w:tblInd w:w="0" w:type="dxa"/>
        <w:tblW w:w="9026" w:type="dxa"/>
      </w:tblPr>
      <w:tblGrid>
        <w:gridCol w:w="900"/>
        <w:gridCol w:w="2300"/>
        <w:gridCol w:w="5826"/>
      </w:tblGrid>
      <w:tr>
        <w:trPr>
          <w:tblHeader/>
          <w:cantSplit w:val="0"/>
          <w:trHeight w:val="0" w:hRule="auto"/>
        </w:trPr>
        <w:tc>
          <w:tcPr>
            <w:tcW w:w="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23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58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Expected behavior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FR-44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Provider abstraction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Support multiple compatible LLM providers through a common interface.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FR-45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Provider fallback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Handle provider failures and switch providers when configured, recording the change.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FR-46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Request caching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Cache eligible repeated requests to reduce latency and provider usage.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FR-47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Budget controls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Enforce per-scan request, token, time, and concurrency limits.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FR-48</w:t>
            </w:r>
            <w:r/>
          </w:p>
        </w:tc>
        <w:tc>
          <w:tcPr>
            <w:tcW w:w="23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Audit trail</w:t>
            </w:r>
            <w:r/>
          </w:p>
        </w:tc>
        <w:tc>
          <w:tcPr>
            <w:tcW w:w="58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Record scan configuration changes, executions, and security-relevant actions.</w:t>
            </w:r>
            <w:r/>
          </w:p>
        </w:tc>
      </w:tr>
    </w:tbl>
    <w:p>
      <w:pPr>
        <w:spacing w:after="120"/>
      </w:pPr>
      <w:r/>
    </w:p>
    <w:p>
      <w:pPr>
        <w:pStyle w:val="para2"/>
      </w:pPr>
      <w:r>
        <w:t>3. Non-functional requirements</w:t>
      </w:r>
    </w:p>
    <w:p>
      <w:pPr>
        <w:spacing w:after="120" w:line="276" w:lineRule="auto"/>
      </w:pPr>
      <w:r>
        <w:t>These describe how securely, reliably, and efficiently Redflag must operate.</w:t>
      </w:r>
    </w:p>
    <w:tbl>
      <w:tblPr>
        <w:name w:val="Table8"/>
        <w:tabOrder w:val="0"/>
        <w:jc w:val="left"/>
        <w:tblInd w:w="0" w:type="dxa"/>
        <w:tblW w:w="9026" w:type="dxa"/>
      </w:tblPr>
      <w:tblGrid>
        <w:gridCol w:w="1000"/>
        <w:gridCol w:w="1900"/>
        <w:gridCol w:w="6126"/>
      </w:tblGrid>
      <w:tr>
        <w:trPr>
          <w:tblHeader/>
          <w:cantSplit w:val="0"/>
          <w:trHeight w:val="0" w:hRule="auto"/>
        </w:trPr>
        <w:tc>
          <w:tcPr>
            <w:tcW w:w="10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  <w:r/>
          </w:p>
        </w:tc>
        <w:tc>
          <w:tcPr>
            <w:tcW w:w="1900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Requirement</w:t>
            </w:r>
            <w:r/>
          </w:p>
        </w:tc>
        <w:tc>
          <w:tcPr>
            <w:tcW w:w="6126" w:type="dxa"/>
            <w:shd w:val="solid" w:color="DCE6F1" tmshd="1677721856, 0, 15853276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Acceptance expectation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NFR-01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Security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Protect credentials, enforce authorization, and never expose stored secrets in reports or logs.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NFR-02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Isolation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Execute tests using sandboxed tools and synthetic data; never allow public-demo attacks to affect real systems.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NFR-03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SSRF protection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Validate custom endpoint destinations and block loopback, private-network, cloud metadata, and other prohibited destinations where applicable.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NFR-04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Privacy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Minimize retained sensitive content; disclose what is stored and provide configurable retention/deletion.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NFR-05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Reliability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Handle provider failures, timeouts, retries, and partial scan failures gracefully.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NFR-06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Reproducibility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Record run ID, policy version, attack-suite version, model/provider, settings, and relevant timestamps.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NFR-07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Accuracy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Validate verdicts against human-labeled cases and report false positives, false negatives, and judge limitations.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NFR-08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Performance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Show progress during scans; establish measurable latency targets after benchmarking on the chosen deployment.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NFR-09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Scalability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Use bounded concurrency and queues or equivalent controls to prevent resource exhaustion.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NFR-10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Cost control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Support strict scan budgets, caching, rate limits, and free-tier-compatible operation where available.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NFR-11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Usability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Make the basic demo usable without an account, with clear setup instructions and understandable findings.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NFR-12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Observability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Track latency, provider errors, test outcomes, tool calls, and resource usage without unnecessarily logging secrets.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NFR-13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Maintainability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Keep target connectors, attack modules, judges, providers, and report generators independently extensible.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NFR-14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Testability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Include automated unit, integration, and end-to-end tests for core workflows and security controls.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NFR-15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Compatibility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Version supported HTTP/MCP protocols, target interfaces, policy schemas, and benchmark formats.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NFR-16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Accessibility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Provide readable contrast, keyboard navigation, clear statuses, and useful error messages.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NFR-17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Documentation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Document setup, supported integrations, test limitations, threat model, and safe usage.</w:t>
            </w:r>
            <w:r/>
          </w:p>
        </w:tc>
      </w:tr>
      <w:tr>
        <w:trPr>
          <w:tblHeader w:val="0"/>
          <w:cantSplit/>
          <w:trHeight w:val="0" w:hRule="auto"/>
        </w:trPr>
        <w:tc>
          <w:tcPr>
            <w:tcW w:w="10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NFR-18</w:t>
            </w:r>
            <w:r/>
          </w:p>
        </w:tc>
        <w:tc>
          <w:tcPr>
            <w:tcW w:w="1900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Deployment</w:t>
            </w:r>
            <w:r/>
          </w:p>
        </w:tc>
        <w:tc>
          <w:tcPr>
            <w:tcW w:w="6126" w:type="dxa"/>
            <w:shd w:val="none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2144066" protected="0"/>
          </w:tcPr>
          <w:p>
            <w:pPr>
              <w:spacing w:line="252" w:lineRule="auto"/>
            </w:pPr>
            <w:r>
              <w:rPr>
                <w:sz w:val="19"/>
                <w:szCs w:val="19"/>
              </w:rPr>
              <w:t>Provide reproducible configuration, health checks, and CI-based build and test workflows.</w:t>
            </w:r>
            <w:r/>
          </w:p>
        </w:tc>
      </w:tr>
    </w:tbl>
    <w:p>
      <w:pPr>
        <w:spacing w:after="120"/>
      </w:pPr>
      <w:r/>
    </w:p>
    <w:p>
      <w:pPr>
        <w:pStyle w:val="para2"/>
      </w:pPr>
      <w:r>
        <w:t>4. Core data entities</w:t>
      </w:r>
    </w:p>
    <w:p>
      <w:pPr>
        <w:spacing w:after="120" w:line="276" w:lineRule="auto"/>
      </w:pPr>
      <w:r>
        <w:t>The application should be designed around these records from the beginning: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rPr>
          <w:b/>
          <w:bCs/>
        </w:rPr>
        <w:t>Project</w:t>
      </w:r>
      <w:r>
        <w:t>: name, description, target type, configuration.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rPr>
          <w:b/>
          <w:bCs/>
        </w:rPr>
        <w:t>Policy</w:t>
      </w:r>
      <w:r>
        <w:t>: allowed behavior, prohibited behavior, permissions, version.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rPr>
          <w:b/>
          <w:bCs/>
        </w:rPr>
        <w:t>Test case</w:t>
      </w:r>
      <w:r>
        <w:t>: category, attack input, expected behavior, policy reference.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rPr>
          <w:b/>
          <w:bCs/>
        </w:rPr>
        <w:t>Scan run</w:t>
      </w:r>
      <w:r>
        <w:t>: target/model configuration, status, budget, timestamps.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rPr>
          <w:b/>
          <w:bCs/>
        </w:rPr>
        <w:t>Finding</w:t>
      </w:r>
      <w:r>
        <w:t>: verdict, severity, evidence, remediation guidance.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rPr>
          <w:b/>
          <w:bCs/>
        </w:rPr>
        <w:t>Benchmark</w:t>
      </w:r>
      <w:r>
        <w:t>: saved test suite and baseline results.</w:t>
      </w:r>
    </w:p>
    <w:p>
      <w:pPr>
        <w:pStyle w:val="para9"/>
        <w:numPr>
          <w:ilvl w:val="0"/>
          <w:numId w:val="7"/>
        </w:numPr>
        <w:ind w:left="0" w:firstLine="0"/>
        <w:spacing w:after="80" w:line="276" w:lineRule="auto"/>
      </w:pPr>
      <w:r>
        <w:rPr>
          <w:b/>
          <w:bCs/>
        </w:rPr>
        <w:t>Audit event</w:t>
      </w:r>
      <w:r>
        <w:t>: security-relevant configuration changes and actions.</w:t>
      </w:r>
    </w:p>
    <w:p>
      <w:pPr>
        <w:pStyle w:val="para2"/>
      </w:pPr>
      <w:r>
        <w:t>5. Suggested application screens</w:t>
      </w:r>
    </w:p>
    <w:p>
      <w:pPr>
        <w:pStyle w:val="para9"/>
        <w:numPr>
          <w:ilvl w:val="0"/>
          <w:numId w:val="8"/>
        </w:numPr>
        <w:ind w:left="0" w:firstLine="0"/>
        <w:spacing w:after="100" w:line="276" w:lineRule="auto"/>
      </w:pPr>
      <w:r>
        <w:rPr>
          <w:b/>
          <w:bCs/>
        </w:rPr>
        <w:t>Projects dashboard</w:t>
      </w:r>
      <w:r>
        <w:br w:type="textWrapping"/>
        <w:t>Projects, latest scans, open findings, overall coverage.</w:t>
      </w:r>
    </w:p>
    <w:p>
      <w:pPr>
        <w:pStyle w:val="para9"/>
        <w:numPr>
          <w:ilvl w:val="0"/>
          <w:numId w:val="8"/>
        </w:numPr>
        <w:ind w:left="0" w:firstLine="0"/>
        <w:spacing w:after="100" w:line="276" w:lineRule="auto"/>
      </w:pPr>
      <w:r>
        <w:rPr>
          <w:b/>
          <w:bCs/>
        </w:rPr>
        <w:t>Connect target</w:t>
      </w:r>
      <w:r>
        <w:br w:type="textWrapping"/>
        <w:t>Demo app, HTTP endpoint, or supported MCP server.</w:t>
      </w:r>
    </w:p>
    <w:p>
      <w:pPr>
        <w:pStyle w:val="para9"/>
        <w:numPr>
          <w:ilvl w:val="0"/>
          <w:numId w:val="8"/>
        </w:numPr>
        <w:ind w:left="0" w:firstLine="0"/>
        <w:spacing w:after="100" w:line="276" w:lineRule="auto"/>
      </w:pPr>
      <w:r>
        <w:rPr>
          <w:b/>
          <w:bCs/>
        </w:rPr>
        <w:t>Policies and test selection</w:t>
      </w:r>
      <w:r>
        <w:br w:type="textWrapping"/>
        <w:t>Review rules, select OWASP categories, configure scan budgets.</w:t>
      </w:r>
    </w:p>
    <w:p>
      <w:pPr>
        <w:pStyle w:val="para9"/>
        <w:numPr>
          <w:ilvl w:val="0"/>
          <w:numId w:val="8"/>
        </w:numPr>
        <w:ind w:left="0" w:firstLine="0"/>
        <w:spacing w:after="100" w:line="276" w:lineRule="auto"/>
      </w:pPr>
      <w:r>
        <w:rPr>
          <w:b/>
          <w:bCs/>
        </w:rPr>
        <w:t>Live scan</w:t>
      </w:r>
      <w:r>
        <w:br w:type="textWrapping"/>
        <w:t>Progress, test cases, outcomes, and errors.</w:t>
      </w:r>
    </w:p>
    <w:p>
      <w:pPr>
        <w:pStyle w:val="para9"/>
        <w:numPr>
          <w:ilvl w:val="0"/>
          <w:numId w:val="8"/>
        </w:numPr>
        <w:ind w:left="0" w:firstLine="0"/>
        <w:spacing w:after="100" w:line="276" w:lineRule="auto"/>
      </w:pPr>
      <w:r>
        <w:rPr>
          <w:b/>
          <w:bCs/>
        </w:rPr>
        <w:t>Findings and reports</w:t>
      </w:r>
      <w:r>
        <w:br w:type="textWrapping"/>
        <w:t>Evidence, severity, remediation, OWASP coverage, and retesting.</w:t>
      </w:r>
    </w:p>
    <w:p>
      <w:pPr>
        <w:pStyle w:val="para2"/>
      </w:pPr>
      <w:r>
        <w:t>6. Recommended implementation order</w:t>
      </w:r>
    </w:p>
    <w:p>
      <w:pPr>
        <w:spacing w:after="120" w:line="276" w:lineRule="auto"/>
      </w:pPr>
      <w:r>
        <w:t>Don't implement every requirement at once. Build the foundation first, then expand.</w:t>
      </w:r>
    </w:p>
    <w:p>
      <w:pPr>
        <w:pStyle w:val="para9"/>
        <w:numPr>
          <w:ilvl w:val="0"/>
          <w:numId w:val="9"/>
        </w:numPr>
        <w:ind w:left="0" w:firstLine="0"/>
        <w:spacing w:after="100" w:line="276" w:lineRule="auto"/>
      </w:pPr>
      <w:r>
        <w:rPr>
          <w:b/>
          <w:bCs/>
        </w:rPr>
        <w:t>Foundation</w:t>
      </w:r>
      <w:r>
        <w:t>: project setup, built-in demo targets, sandbox, policy schema, and target interface.</w:t>
      </w:r>
    </w:p>
    <w:p>
      <w:pPr>
        <w:pStyle w:val="para9"/>
        <w:numPr>
          <w:ilvl w:val="0"/>
          <w:numId w:val="9"/>
        </w:numPr>
        <w:ind w:left="0" w:firstLine="0"/>
        <w:spacing w:after="100" w:line="276" w:lineRule="auto"/>
      </w:pPr>
      <w:r>
        <w:rPr>
          <w:b/>
          <w:bCs/>
        </w:rPr>
        <w:t>Security engine</w:t>
      </w:r>
      <w:r>
        <w:t>: initial OWASP-aligned attack library, positive/negative tests, deterministic verdicts, and evidence collection.</w:t>
      </w:r>
    </w:p>
    <w:p>
      <w:pPr>
        <w:pStyle w:val="para9"/>
        <w:numPr>
          <w:ilvl w:val="0"/>
          <w:numId w:val="9"/>
        </w:numPr>
        <w:ind w:left="0" w:firstLine="0"/>
        <w:spacing w:after="100" w:line="276" w:lineRule="auto"/>
      </w:pPr>
      <w:r>
        <w:rPr>
          <w:b/>
          <w:bCs/>
        </w:rPr>
        <w:t>Dashboard</w:t>
      </w:r>
      <w:r>
        <w:t>: live progress, findings, category coverage, scan history, and exportable reports.</w:t>
      </w:r>
    </w:p>
    <w:p>
      <w:pPr>
        <w:pStyle w:val="para9"/>
        <w:numPr>
          <w:ilvl w:val="0"/>
          <w:numId w:val="9"/>
        </w:numPr>
        <w:ind w:left="0" w:firstLine="0"/>
        <w:spacing w:after="100" w:line="276" w:lineRule="auto"/>
      </w:pPr>
      <w:r>
        <w:rPr>
          <w:b/>
          <w:bCs/>
        </w:rPr>
        <w:t>Quality and reliability</w:t>
      </w:r>
      <w:r>
        <w:t>: judge validation, budgets, caching, provider error handling, and reproducible benchmarks.</w:t>
      </w:r>
    </w:p>
    <w:p>
      <w:pPr>
        <w:pStyle w:val="para9"/>
        <w:numPr>
          <w:ilvl w:val="0"/>
          <w:numId w:val="9"/>
        </w:numPr>
        <w:ind w:left="0" w:firstLine="0"/>
        <w:spacing w:after="100" w:line="276" w:lineRule="auto"/>
      </w:pPr>
      <w:r>
        <w:rPr>
          <w:b/>
          <w:bCs/>
        </w:rPr>
        <w:t>Advanced integrations</w:t>
      </w:r>
      <w:r>
        <w:t>: external HTTP targets, MCP, adaptive attacks, multi-turn tests, and CI regression gates.</w:t>
      </w:r>
    </w:p>
    <w:p>
      <w:pPr>
        <w:pStyle w:val="para2"/>
      </w:pPr>
      <w:r>
        <w:t>7. Important constraints</w:t>
      </w:r>
    </w:p>
    <w:p>
      <w:pPr>
        <w:pStyle w:val="para9"/>
        <w:numPr>
          <w:ilvl w:val="0"/>
          <w:numId w:val="9"/>
        </w:numPr>
        <w:ind w:left="0" w:firstLine="0"/>
        <w:spacing w:after="80" w:line="276" w:lineRule="auto"/>
      </w:pPr>
      <w:r>
        <w:t>₹0 operating cost and no credit card are goals, not guaranteed permanent properties of third-party free tiers.</w:t>
      </w:r>
    </w:p>
    <w:p>
      <w:pPr>
        <w:pStyle w:val="para9"/>
        <w:numPr>
          <w:ilvl w:val="0"/>
          <w:numId w:val="9"/>
        </w:numPr>
        <w:ind w:left="0" w:firstLine="0"/>
        <w:spacing w:after="80" w:line="276" w:lineRule="auto"/>
      </w:pPr>
      <w:r>
        <w:t>An OWASP checklist is not proof of complete security; every report must distinguish tested risks from untested or inconclusive ones.</w:t>
      </w:r>
    </w:p>
    <w:p>
      <w:pPr>
        <w:pStyle w:val="para2"/>
      </w:pPr>
      <w:r>
        <w:t>8. Next step</w:t>
      </w:r>
    </w:p>
    <w:p>
      <w:pPr>
        <w:spacing w:after="120" w:line="276" w:lineRule="auto"/>
      </w:pPr>
      <w:r>
        <w:t>Before coding, turn this specification into a prioritized backlog with measurable acceptance criteria for each initial feature.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8"/>
      <w:type w:val="nextPage"/>
      <w:pgSz w:h="16838" w:w="11906"/>
      <w:pgMar w:left="1440" w:top="1440" w:right="1440" w:bottom="1440" w:header="0" w:footer="708"/>
      <w:paperSrc w:first="0" w:other="0" a="0" b="0"/>
      <w:pgNumType w:fmt="decimal"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/>
      <w:jc w:val="center"/>
    </w:pPr>
    <w:r>
      <w:rPr>
        <w:color w:val="7f7f7f"/>
        <w:sz w:val="16"/>
        <w:szCs w:val="16"/>
      </w:rPr>
      <w:t xml:space="preserve">Redflag — Requirements Specification  |  Page </w:t>
    </w:r>
    <w:r>
      <w:rPr>
        <w:color w:val="7f7f7f"/>
        <w:sz w:val="16"/>
        <w:szCs w:val="16"/>
      </w:rPr>
      <w:fldChar w:fldCharType="begin"/>
      <w:instrText xml:space="preserve"> PAGE </w:instrText>
      <w:fldChar w:fldCharType="separate"/>
      <w:t>1</w:t>
      <w:fldChar w:fldCharType="end"/>
    </w:r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name w:val="Numbered list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hybridMultilevel"/>
    <w:name w:val="Numbered list 4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hybridMultilevel"/>
    <w:name w:val="Numbered list 5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hybridMultilevel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144066" w:val="1234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1"/>
      <w:szCs w:val="21"/>
    </w:rPr>
  </w:style>
  <w:style w:type="paragraph" w:styleId="para6">
    <w:name w:val="heading 5"/>
    <w:qFormat/>
    <w:rPr>
      <w:rFonts w:ascii="Arial" w:hAnsi="Arial" w:eastAsia="Arial" w:cs="Arial"/>
      <w:color w:val="2e74b5"/>
      <w:sz w:val="21"/>
      <w:szCs w:val="21"/>
    </w:rPr>
  </w:style>
  <w:style w:type="paragraph" w:styleId="para7">
    <w:name w:val="heading 6"/>
    <w:qFormat/>
    <w:rPr>
      <w:rFonts w:ascii="Arial" w:hAnsi="Arial" w:eastAsia="Arial" w:cs="Arial"/>
      <w:color w:val="1f4d78"/>
      <w:sz w:val="21"/>
      <w:szCs w:val="21"/>
    </w:rPr>
  </w:style>
  <w:style w:type="paragraph" w:styleId="para8" w:customStyle="1">
    <w:name w:val="Strong"/>
    <w:qFormat/>
    <w:rPr>
      <w:rFonts w:ascii="Arial" w:hAnsi="Arial" w:eastAsia="Arial" w:cs="Arial"/>
      <w:b/>
      <w:bCs/>
      <w:sz w:val="21"/>
      <w:szCs w:val="21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Title*"/>
    <w:qFormat/>
    <w:pPr>
      <w:spacing w:after="120"/>
    </w:pPr>
    <w:rPr>
      <w:rFonts w:ascii="Arial" w:hAnsi="Arial" w:eastAsia="Arial" w:cs="Arial"/>
      <w:b/>
      <w:bCs/>
      <w:color w:val="1f3864"/>
      <w:sz w:val="56"/>
      <w:szCs w:val="56"/>
    </w:rPr>
  </w:style>
  <w:style w:type="paragraph" w:styleId="para13" w:customStyle="1">
    <w:name w:val="Heading 1*"/>
    <w:qFormat/>
    <w:pPr>
      <w:spacing w:before="360" w:after="160"/>
      <w:keepNext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para14" w:customStyle="1">
    <w:name w:val="Heading 2*"/>
    <w:qFormat/>
    <w:pPr>
      <w:spacing w:before="240" w:after="120"/>
      <w:keepNext/>
      <w:outlineLvl w:val="1"/>
    </w:pPr>
    <w:rPr>
      <w:rFonts w:ascii="Arial" w:hAnsi="Arial" w:eastAsia="Arial" w:cs="Arial"/>
      <w:b/>
      <w:bCs/>
      <w:color w:val="2f5496"/>
      <w:sz w:val="26"/>
      <w:szCs w:val="26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1"/>
        <w:szCs w:val="21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1"/>
      <w:szCs w:val="21"/>
    </w:rPr>
  </w:style>
  <w:style w:type="paragraph" w:styleId="para6">
    <w:name w:val="heading 5"/>
    <w:qFormat/>
    <w:rPr>
      <w:rFonts w:ascii="Arial" w:hAnsi="Arial" w:eastAsia="Arial" w:cs="Arial"/>
      <w:color w:val="2e74b5"/>
      <w:sz w:val="21"/>
      <w:szCs w:val="21"/>
    </w:rPr>
  </w:style>
  <w:style w:type="paragraph" w:styleId="para7">
    <w:name w:val="heading 6"/>
    <w:qFormat/>
    <w:rPr>
      <w:rFonts w:ascii="Arial" w:hAnsi="Arial" w:eastAsia="Arial" w:cs="Arial"/>
      <w:color w:val="1f4d78"/>
      <w:sz w:val="21"/>
      <w:szCs w:val="21"/>
    </w:rPr>
  </w:style>
  <w:style w:type="paragraph" w:styleId="para8" w:customStyle="1">
    <w:name w:val="Strong"/>
    <w:qFormat/>
    <w:rPr>
      <w:rFonts w:ascii="Arial" w:hAnsi="Arial" w:eastAsia="Arial" w:cs="Arial"/>
      <w:b/>
      <w:bCs/>
      <w:sz w:val="21"/>
      <w:szCs w:val="21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Title*"/>
    <w:qFormat/>
    <w:pPr>
      <w:spacing w:after="120"/>
    </w:pPr>
    <w:rPr>
      <w:rFonts w:ascii="Arial" w:hAnsi="Arial" w:eastAsia="Arial" w:cs="Arial"/>
      <w:b/>
      <w:bCs/>
      <w:color w:val="1f3864"/>
      <w:sz w:val="56"/>
      <w:szCs w:val="56"/>
    </w:rPr>
  </w:style>
  <w:style w:type="paragraph" w:styleId="para13" w:customStyle="1">
    <w:name w:val="Heading 1*"/>
    <w:qFormat/>
    <w:pPr>
      <w:spacing w:before="360" w:after="160"/>
      <w:keepNext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para14" w:customStyle="1">
    <w:name w:val="Heading 2*"/>
    <w:qFormat/>
    <w:pPr>
      <w:spacing w:before="240" w:after="120"/>
      <w:keepNext/>
      <w:outlineLvl w:val="1"/>
    </w:pPr>
    <w:rPr>
      <w:rFonts w:ascii="Arial" w:hAnsi="Arial" w:eastAsia="Arial" w:cs="Arial"/>
      <w:b/>
      <w:bCs/>
      <w:color w:val="2f5496"/>
      <w:sz w:val="26"/>
      <w:szCs w:val="26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Redflag — Project Requirements Specification</dc:title>
  <dc:subject/>
  <dc:creator>Redflag</dc:creator>
  <cp:keywords/>
  <dc:description/>
  <cp:lastModifiedBy>Un-named</cp:lastModifiedBy>
  <cp:revision>2</cp:revision>
  <dcterms:created xsi:type="dcterms:W3CDTF">2026-10-16T09:47:46Z</dcterms:created>
  <dcterms:modified xsi:type="dcterms:W3CDTF">2026-10-16T09:47:46Z</dcterms:modified>
</cp:coreProperties>
</file>