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1: Deployment Rolling Update with kubectl Rollout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2727"/>
        </w:tabs>
        <w:spacing w:after="160" w:before="0" w:line="259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deployment rolling with kubectl rollout (command)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deployment rolling with kubectl rollout (command)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306.999999999999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Update deployment rolling with kubectl rollout (command)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kubernetes cluster in the lab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the first step, let’s create a deployment named nginx-deployment, indicated by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metadata.namefield. The yaml file will look like the one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 &gt;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nginx-deployment.yaml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apiVersion: apps/v1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kind: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name: nginx-deployment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app: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replicas: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selector: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matchLabels: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app: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app: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- name: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image: nginx:1.7.9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- containerPort: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0" w:line="264" w:lineRule="auto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Next, create the deployment by running the following kubectl command: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apply -f nginx-deployment.yaml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kubectl get deployments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 to check if the deployment was created. If the deployment is still being created, the output is like the one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19750" cy="74295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see the deployment rollout status, run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rollout status deployment.v1.apps/nginx-deployment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The output is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Sometimes, you may want to rollback a deployment. For example, when the deployment is not stable, such as crash looping. Suppose you made a typo while updating the deployment, by putting the image name as nginx:1.91 instead of nginx:1.9.1, the output will be shown similar to that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set image deployment.v1.apps/nginx-deployment nginx=nginx:1.91 --record=true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445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now check the rollout history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kubectl rollout history deployment.v1.apps/nginx-deployment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7urKCLBYxTdUWnB+g4h7TiAHaA==">AMUW2mUZgpQa+lC+5zp8sqybfdsf5jo26eE9VvykumoYlN/tTJ21jyGXrkXI3t9kscnPVBn10Y1Lp0fK0hSE+JeMasWcgnGflmm7Y6CDDPWMNpYghZOo/3U=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