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Frequently Asked Questions — LegalVault AI</w:t>
      </w:r>
    </w:p>
    <w:p>
      <w:r>
        <w:rPr>
          <w:b/>
          <w:sz w:val="22"/>
        </w:rPr>
        <w:t>Q: What is LegalVault AI?</w:t>
      </w:r>
    </w:p>
    <w:p>
      <w:pPr>
        <w:spacing w:after="200"/>
      </w:pPr>
      <w:r>
        <w:t>A: LegalVault AI is an on-premise legal document retrieval and verification system that lets lawyers and compliance teams ask questions about their case files and get cited, evidence-backed answers.</w:t>
      </w:r>
    </w:p>
    <w:p>
      <w:r>
        <w:rPr>
          <w:b/>
          <w:sz w:val="22"/>
        </w:rPr>
        <w:t>Q: Does LegalVault AI send data to the cloud?</w:t>
      </w:r>
    </w:p>
    <w:p>
      <w:pPr>
        <w:spacing w:after="200"/>
      </w:pPr>
      <w:r>
        <w:t>A: No. All processing runs on your own hardware. The language model, embedding model, and vector database all run locally. No document, query, or response ever leaves your machine.</w:t>
      </w:r>
    </w:p>
    <w:p>
      <w:r>
        <w:rPr>
          <w:b/>
          <w:sz w:val="22"/>
        </w:rPr>
        <w:t>Q: What hardware do I need to run it?</w:t>
      </w:r>
    </w:p>
    <w:p>
      <w:pPr>
        <w:spacing w:after="200"/>
      </w:pPr>
      <w:r>
        <w:t>A: Minimum: a laptop with 8 GB RAM, an Intel i5 or equivalent, and at least 20 GB of free disk space. For acceptable performance, a GPU with 4 GB VRAM (such as GTX 1650 or newer) is strongly recommended.</w:t>
      </w:r>
    </w:p>
    <w:p>
      <w:r>
        <w:rPr>
          <w:b/>
          <w:sz w:val="22"/>
        </w:rPr>
        <w:t>Q: Which document formats are supported?</w:t>
      </w:r>
    </w:p>
    <w:p>
      <w:pPr>
        <w:spacing w:after="200"/>
      </w:pPr>
      <w:r>
        <w:t>A: LegalVault AI currently supports PDF files (text-based, not scanned), plain-text files, Microsoft Word documents in DOCX format, and audio files in MP3, WAV, M4A, or OGG format.</w:t>
      </w:r>
    </w:p>
    <w:p>
      <w:r>
        <w:rPr>
          <w:b/>
          <w:sz w:val="22"/>
        </w:rPr>
        <w:t>Q: How are my documents kept private between cases?</w:t>
      </w:r>
    </w:p>
    <w:p>
      <w:pPr>
        <w:spacing w:after="200"/>
      </w:pPr>
      <w:r>
        <w:t>A: Every document is tagged with its case identifier at ingestion. Queries filter by case identifier at the vector-database layer, which makes it impossible for a query against case A to return results from case B. Users can only query cases they have access to.</w:t>
      </w:r>
    </w:p>
    <w:p>
      <w:r>
        <w:rPr>
          <w:b/>
          <w:sz w:val="22"/>
        </w:rPr>
        <w:t>Q: Can I export my data?</w:t>
      </w:r>
    </w:p>
    <w:p>
      <w:pPr>
        <w:spacing w:after="200"/>
      </w:pPr>
      <w:r>
        <w:t>A: Yes. You can export any case as a ZIP archive containing the original documents, the generated answers with their citations, and the full list of extracted chunks. The export feature is available from the case detail page.</w:t>
      </w:r>
    </w:p>
    <w:p>
      <w:r>
        <w:rPr>
          <w:b/>
          <w:sz w:val="22"/>
        </w:rPr>
        <w:t>Q: What languages does LegalVault AI support?</w:t>
      </w:r>
    </w:p>
    <w:p>
      <w:pPr>
        <w:spacing w:after="200"/>
      </w:pPr>
      <w:r>
        <w:t>A: English is fully supported in all tiers. For documents containing Hindi or other Indian languages, use the BGE-M3 embedding tier which supports more than 100 languages. The language model remains English-first in the current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