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Phoenix Lens GUI Overview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Section - Displays the Logo of Phoenix Lens, takes you to the estimation area after clicking on the “Make an Estimation” tab.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Section - Briefly describes the mechanism and benefits of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 Section - This is the functional section of the system where you can enter the parameters and get an estimated prediction.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to use it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Inputs Description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05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045"/>
        <w:tblGridChange w:id="0">
          <w:tblGrid>
            <w:gridCol w:w="3060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Name</w:t>
            </w:r>
            <w:r w:rsidDel="00000000" w:rsidR="00000000" w:rsidRPr="00000000">
              <w:rPr>
                <w:color w:val="4a86e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the age of the patient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Surgical Procedure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the surgical procedure from the drop-down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Surgical Speciality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the surgical speciality from the drop-down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Patient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the patient type from the drop-down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OP INR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the results obtained from INR test before the surgery.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OP Platelet 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the results obtained from Platelet test before the surgery.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Hemoglobin before surgery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the hemoglobin level of the patient before the surgery.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Output Description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05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045"/>
        <w:tblGridChange w:id="0">
          <w:tblGrid>
            <w:gridCol w:w="3060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Name</w:t>
            </w:r>
            <w:r w:rsidDel="00000000" w:rsidR="00000000" w:rsidRPr="00000000">
              <w:rPr>
                <w:color w:val="4a86e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Pre_RBC_Count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Displays the estimated Pre_RBC_Count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Pre_RBC_Range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Displays the estimated Pre_RBC_Range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Displays the estimated RBC_Count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RBC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Displays the estimated RBC_Range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Us Section - You can connect with us,subscribe for the newsletter regarding future improvements  and also provide us feedback to improvise through this section.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