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FarmGenAI (AgriNegotiator)</w:t>
      </w:r>
    </w:p>
    <w:p>
      <w:pPr>
        <w:jc w:val="center"/>
      </w:pPr>
      <w:r>
        <w:rPr>
          <w:b/>
          <w:color w:val="2E7D32"/>
          <w:sz w:val="28"/>
        </w:rPr>
        <w:t>Performance Parameters &amp; Genuine Testing Evaluation Report</w:t>
      </w:r>
    </w:p>
    <w:p>
      <w:pPr>
        <w:jc w:val="center"/>
      </w:pPr>
      <w:r>
        <w:rPr>
          <w:i/>
          <w:color w:val="666666"/>
          <w:sz w:val="19"/>
        </w:rPr>
        <w:t>Evaluated on: October 04, 2026 | Repository: Ritikmehta080905/FarmGenAI</w:t>
        <w:br/>
        <w:t>Independent Quality &amp; Systems Verification</w:t>
      </w:r>
    </w:p>
    <w:p>
      <w:pPr>
        <w:spacing w:after="200"/>
      </w:pPr>
    </w:p>
    <w:p>
      <w:pPr>
        <w:keepNext/>
        <w:spacing w:before="280" w:after="80"/>
      </w:pPr>
      <w:r>
        <w:rPr>
          <w:b/>
          <w:color w:val="1B365D"/>
          <w:sz w:val="26"/>
        </w:rPr>
        <w:t>1. Testing Environment &amp; Execution Specifications</w:t>
      </w:r>
    </w:p>
    <w:p>
      <w:r>
        <w:t>All performance benchmarks and multi-agent test suites documented in this evaluation were executed locally on the actual FarmGenAI source repository under controlled, deterministic runtime conditions: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4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Verified Value / Specification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Operating System</w:t>
            </w:r>
          </w:p>
        </w:tc>
        <w:tc>
          <w:tcPr>
            <w:tcW w:type="dxa" w:w="6480"/>
            <w:shd w:fill="FFFFFF"/>
          </w:tcPr>
          <w:p>
            <w:pPr>
              <w:jc w:val="center"/>
            </w:pPr>
            <w:r>
              <w:rPr>
                <w:sz w:val="18"/>
              </w:rPr>
              <w:t>Microsoft Windows 11 Enterprise (x64)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Python Runtime</w:t>
            </w:r>
          </w:p>
        </w:tc>
        <w:tc>
          <w:tcPr>
            <w:tcW w:type="dxa" w:w="6480"/>
            <w:shd w:fill="F7F9FC"/>
          </w:tcPr>
          <w:p>
            <w:pPr>
              <w:jc w:val="center"/>
            </w:pPr>
            <w:r>
              <w:rPr>
                <w:sz w:val="18"/>
              </w:rPr>
              <w:t>Python 3.12.10 (AMD64 64-bit)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Test Framework</w:t>
            </w:r>
          </w:p>
        </w:tc>
        <w:tc>
          <w:tcPr>
            <w:tcW w:type="dxa" w:w="6480"/>
            <w:shd w:fill="FFFFFF"/>
          </w:tcPr>
          <w:p>
            <w:pPr>
              <w:jc w:val="center"/>
            </w:pPr>
            <w:r>
              <w:rPr>
                <w:sz w:val="18"/>
              </w:rPr>
              <w:t>pytest-9.1.1, pytest-asyncio-1.4.0, anyio-3.7.1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ASGI Application Server</w:t>
            </w:r>
          </w:p>
        </w:tc>
        <w:tc>
          <w:tcPr>
            <w:tcW w:type="dxa" w:w="6480"/>
            <w:shd w:fill="F7F9FC"/>
          </w:tcPr>
          <w:p>
            <w:pPr>
              <w:jc w:val="center"/>
            </w:pPr>
            <w:r>
              <w:rPr>
                <w:sz w:val="18"/>
              </w:rPr>
              <w:t>Uvicorn 0.24.0 on FastAPI 0.104.1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Multi-Agent Framework</w:t>
            </w:r>
          </w:p>
        </w:tc>
        <w:tc>
          <w:tcPr>
            <w:tcW w:type="dxa" w:w="6480"/>
            <w:shd w:fill="FFFFFF"/>
          </w:tcPr>
          <w:p>
            <w:pPr>
              <w:jc w:val="center"/>
            </w:pPr>
            <w:r>
              <w:rPr>
                <w:sz w:val="18"/>
              </w:rPr>
              <w:t>LangGraph 0.1.5 + LangChain Core 0.2.8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Primary Database (Test / Runtime)</w:t>
            </w:r>
          </w:p>
        </w:tc>
        <w:tc>
          <w:tcPr>
            <w:tcW w:type="dxa" w:w="6480"/>
            <w:shd w:fill="F7F9FC"/>
          </w:tcPr>
          <w:p>
            <w:pPr>
              <w:jc w:val="center"/>
            </w:pPr>
            <w:r>
              <w:rPr>
                <w:sz w:val="18"/>
              </w:rPr>
              <w:t>SQLite 3 via aiosqlite 0.22.1 (Async Engine)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Vector DB / RAG Store</w:t>
            </w:r>
          </w:p>
        </w:tc>
        <w:tc>
          <w:tcPr>
            <w:tcW w:type="dxa" w:w="6480"/>
            <w:shd w:fill="FFFFFF"/>
          </w:tcPr>
          <w:p>
            <w:pPr>
              <w:jc w:val="center"/>
            </w:pPr>
            <w:r>
              <w:rPr>
                <w:sz w:val="18"/>
              </w:rPr>
              <w:t>ChromaDB 1.5.9 (4 Initialized Knowledge Collections)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Execution Mode</w:t>
            </w:r>
          </w:p>
        </w:tc>
        <w:tc>
          <w:tcPr>
            <w:tcW w:type="dxa" w:w="6480"/>
            <w:shd w:fill="F7F9FC"/>
          </w:tcPr>
          <w:p>
            <w:pPr>
              <w:jc w:val="center"/>
            </w:pPr>
            <w:r>
              <w:rPr>
                <w:sz w:val="18"/>
              </w:rPr>
              <w:t>ENABLE_LLM=false (Deterministic Offline Multi-Agent Verification)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Execution Date &amp; Timestamp</w:t>
            </w:r>
          </w:p>
        </w:tc>
        <w:tc>
          <w:tcPr>
            <w:tcW w:type="dxa" w:w="6480"/>
            <w:shd w:fill="FFFFFF"/>
          </w:tcPr>
          <w:p>
            <w:pPr>
              <w:jc w:val="center"/>
            </w:pPr>
            <w:r>
              <w:rPr>
                <w:sz w:val="18"/>
              </w:rPr>
              <w:t>2026-10-04 21:32:58 UTC+05:30</w:t>
            </w:r>
          </w:p>
        </w:tc>
      </w:tr>
    </w:tbl>
    <w:p>
      <w:pPr>
        <w:keepNext/>
        <w:spacing w:before="280" w:after="80"/>
      </w:pPr>
      <w:r>
        <w:rPr>
          <w:b/>
          <w:color w:val="1B365D"/>
          <w:sz w:val="26"/>
        </w:rPr>
        <w:t>2. Performance Metric Definitions &amp; Formulas</w:t>
      </w:r>
    </w:p>
    <w:p>
      <w:r>
        <w:t>To prevent ambiguity or exaggerated claims, every reported metric in this audit is strictly defined by industry standard mathematical formulas categorized by functional domain: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 Name</w:t>
            </w:r>
          </w:p>
        </w:tc>
        <w:tc>
          <w:tcPr>
            <w:tcW w:type="dxa" w:w="388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Mathematical Formulation</w:t>
            </w:r>
          </w:p>
        </w:tc>
        <w:tc>
          <w:tcPr>
            <w:tcW w:type="dxa" w:w="360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Physical Meaning in FarmGenAI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Test Pass Rate</w:t>
            </w:r>
          </w:p>
        </w:tc>
        <w:tc>
          <w:tcPr>
            <w:tcW w:type="dxa" w:w="3888"/>
            <w:shd w:fill="FFFFFF"/>
          </w:tcPr>
          <w:p>
            <w:pPr>
              <w:jc w:val="center"/>
            </w:pPr>
            <w:r>
              <w:rPr>
                <w:sz w:val="18"/>
              </w:rPr>
              <w:t>Pass Rate = (N_passed / N_executed) × 100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r>
              <w:rPr>
                <w:sz w:val="18"/>
              </w:rPr>
              <w:t>Percentage of functional assertions successfully validated.</w:t>
            </w:r>
          </w:p>
        </w:tc>
      </w:tr>
      <w:tr>
        <w:tc>
          <w:tcPr>
            <w:tcW w:type="dxa" w:w="2592"/>
            <w:shd w:fill="F7F9FC"/>
          </w:tcPr>
          <w:p>
            <w:pPr>
              <w:jc w:val="left"/>
            </w:pPr>
            <w:r>
              <w:rPr>
                <w:sz w:val="18"/>
              </w:rPr>
              <w:t>Mean Absolute Error (MAE)</w:t>
            </w:r>
          </w:p>
        </w:tc>
        <w:tc>
          <w:tcPr>
            <w:tcW w:type="dxa" w:w="3888"/>
            <w:shd w:fill="F7F9FC"/>
          </w:tcPr>
          <w:p>
            <w:pPr>
              <w:jc w:val="center"/>
            </w:pPr>
            <w:r>
              <w:rPr>
                <w:sz w:val="18"/>
              </w:rPr>
              <w:t>MAE = (1/N) × Σ |y_actual − y_pred|</w:t>
            </w:r>
          </w:p>
        </w:tc>
        <w:tc>
          <w:tcPr>
            <w:tcW w:type="dxa" w:w="3600"/>
            <w:shd w:fill="F7F9FC"/>
          </w:tcPr>
          <w:p>
            <w:pPr>
              <w:jc w:val="center"/>
            </w:pPr>
            <w:r>
              <w:rPr>
                <w:sz w:val="18"/>
              </w:rPr>
              <w:t>Average absolute error in crop price forecasts (in ₹/kg).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Root Mean Squared Error (RMSE)</w:t>
            </w:r>
          </w:p>
        </w:tc>
        <w:tc>
          <w:tcPr>
            <w:tcW w:type="dxa" w:w="3888"/>
            <w:shd w:fill="FFFFFF"/>
          </w:tcPr>
          <w:p>
            <w:pPr>
              <w:jc w:val="center"/>
            </w:pPr>
            <w:r>
              <w:rPr>
                <w:sz w:val="18"/>
              </w:rPr>
              <w:t>RMSE = sqrt((1/N) × Σ (y_actual − y_pred)²)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r>
              <w:rPr>
                <w:sz w:val="18"/>
              </w:rPr>
              <w:t>Penalty-weighted variance measure for large forecast errors.</w:t>
            </w:r>
          </w:p>
        </w:tc>
      </w:tr>
      <w:tr>
        <w:tc>
          <w:tcPr>
            <w:tcW w:type="dxa" w:w="2592"/>
            <w:shd w:fill="F7F9FC"/>
          </w:tcPr>
          <w:p>
            <w:pPr>
              <w:jc w:val="left"/>
            </w:pPr>
            <w:r>
              <w:rPr>
                <w:sz w:val="18"/>
              </w:rPr>
              <w:t>Mean Absolute Percentage Error</w:t>
            </w:r>
          </w:p>
        </w:tc>
        <w:tc>
          <w:tcPr>
            <w:tcW w:type="dxa" w:w="3888"/>
            <w:shd w:fill="F7F9FC"/>
          </w:tcPr>
          <w:p>
            <w:pPr>
              <w:jc w:val="center"/>
            </w:pPr>
            <w:r>
              <w:rPr>
                <w:sz w:val="18"/>
              </w:rPr>
              <w:t>MAPE = (100%/N) × Σ |(y_actual − y_pred) / y_actual|</w:t>
            </w:r>
          </w:p>
        </w:tc>
        <w:tc>
          <w:tcPr>
            <w:tcW w:type="dxa" w:w="3600"/>
            <w:shd w:fill="F7F9FC"/>
          </w:tcPr>
          <w:p>
            <w:pPr>
              <w:jc w:val="center"/>
            </w:pPr>
            <w:r>
              <w:rPr>
                <w:sz w:val="18"/>
              </w:rPr>
              <w:t>Percentage relative deviation from actual APMC mandi prices.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P95 Latency</w:t>
            </w:r>
          </w:p>
        </w:tc>
        <w:tc>
          <w:tcPr>
            <w:tcW w:type="dxa" w:w="3888"/>
            <w:shd w:fill="FFFFFF"/>
          </w:tcPr>
          <w:p>
            <w:pPr>
              <w:jc w:val="center"/>
            </w:pPr>
            <w:r>
              <w:rPr>
                <w:sz w:val="18"/>
              </w:rPr>
              <w:t>P95 = 95th Percentile Latency across N requests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r>
              <w:rPr>
                <w:sz w:val="18"/>
              </w:rPr>
              <w:t>Response time ceiling experienced by 95% of client requests.</w:t>
            </w:r>
          </w:p>
        </w:tc>
      </w:tr>
      <w:tr>
        <w:tc>
          <w:tcPr>
            <w:tcW w:type="dxa" w:w="2592"/>
            <w:shd w:fill="F7F9FC"/>
          </w:tcPr>
          <w:p>
            <w:pPr>
              <w:jc w:val="left"/>
            </w:pPr>
            <w:r>
              <w:rPr>
                <w:sz w:val="18"/>
              </w:rPr>
              <w:t>HTTP Success Rate</w:t>
            </w:r>
          </w:p>
        </w:tc>
        <w:tc>
          <w:tcPr>
            <w:tcW w:type="dxa" w:w="3888"/>
            <w:shd w:fill="F7F9FC"/>
          </w:tcPr>
          <w:p>
            <w:pPr>
              <w:jc w:val="center"/>
            </w:pPr>
            <w:r>
              <w:rPr>
                <w:sz w:val="18"/>
              </w:rPr>
              <w:t>HTTP 2xx Rate = (N_2xx / N_total) × 100</w:t>
            </w:r>
          </w:p>
        </w:tc>
        <w:tc>
          <w:tcPr>
            <w:tcW w:type="dxa" w:w="3600"/>
            <w:shd w:fill="F7F9FC"/>
          </w:tcPr>
          <w:p>
            <w:pPr>
              <w:jc w:val="center"/>
            </w:pPr>
            <w:r>
              <w:rPr>
                <w:sz w:val="18"/>
              </w:rPr>
              <w:t>Reliability of backend API endpoints under synthetic load.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8-Factor NRV Consistency</w:t>
            </w:r>
          </w:p>
        </w:tc>
        <w:tc>
          <w:tcPr>
            <w:tcW w:type="dxa" w:w="3888"/>
            <w:shd w:fill="FFFFFF"/>
          </w:tcPr>
          <w:p>
            <w:pPr>
              <w:jc w:val="center"/>
            </w:pPr>
            <w:r>
              <w:rPr>
                <w:sz w:val="18"/>
              </w:rPr>
              <w:t>NRV Consistency = (N_consistent / N_total) × 100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r>
              <w:rPr>
                <w:sz w:val="18"/>
              </w:rPr>
              <w:t>Deterministic agreement across ranking engine &amp; orchestrator.</w:t>
            </w:r>
          </w:p>
        </w:tc>
      </w:tr>
    </w:tbl>
    <w:p>
      <w:pPr>
        <w:keepNext/>
        <w:spacing w:before="280" w:after="80"/>
      </w:pPr>
      <w:r>
        <w:rPr>
          <w:b/>
          <w:color w:val="1B365D"/>
          <w:sz w:val="26"/>
        </w:rPr>
        <w:t>3. Machine Learning Performance (Maharashtra Price Forecaster)</w:t>
      </w:r>
    </w:p>
    <w:p>
      <w:r>
        <w:t>FarmGenAI utilizes regression models trained on historical Maharashtra Agricultural Produce Market Committee (APMC) mandis data. The dataset spans 62,429 raw records across 7 canonical crops, cleaned to 14,078 records and 13,179 feature rows. The model was partitioned chronologically (80% Train: 2014-09 to 2016-03, Validation: 2016-03 to 2016-07, Test: 2016-07 to 2016-10) to prevent lookahead data leakage.</w:t>
      </w:r>
    </w:p>
    <w:p>
      <w:pPr>
        <w:keepNext/>
        <w:spacing w:before="200" w:after="40"/>
      </w:pPr>
      <w:r>
        <w:rPr>
          <w:b/>
          <w:color w:val="2E7D32"/>
          <w:sz w:val="22"/>
        </w:rPr>
        <w:t>3.1 Overall Model Benchmark Comparison (Test Set N = 1,977)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16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/ Baseline Architecture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Samples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MAE (₹/kg)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RMSE (₹/kg)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MAPE (%)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sz w:val="18"/>
              </w:rPr>
              <w:t>Persistence Baseline (t-1 day)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1,977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1.73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2.89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10.45%</w:t>
            </w:r>
          </w:p>
        </w:tc>
      </w:tr>
      <w:tr>
        <w:tc>
          <w:tcPr>
            <w:tcW w:type="dxa" w:w="3168"/>
            <w:shd w:fill="F7F9FC"/>
          </w:tcPr>
          <w:p>
            <w:pPr>
              <w:jc w:val="left"/>
            </w:pPr>
            <w:r>
              <w:rPr>
                <w:sz w:val="18"/>
              </w:rPr>
              <w:t>3-Month Moving Average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1,977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2.39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3.49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18.83%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sz w:val="18"/>
              </w:rPr>
              <w:t>Ridge Regression (alpha=1.0)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1,977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2.18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3.19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16.82%</w:t>
            </w:r>
          </w:p>
        </w:tc>
      </w:tr>
      <w:tr>
        <w:tc>
          <w:tcPr>
            <w:tcW w:type="dxa" w:w="3168"/>
            <w:shd w:fill="F7F9FC"/>
          </w:tcPr>
          <w:p>
            <w:pPr>
              <w:jc w:val="left"/>
            </w:pPr>
            <w:r>
              <w:rPr>
                <w:sz w:val="18"/>
              </w:rPr>
              <w:t>HistGradientBoosting / XGBoost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1,977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2.58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3.70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26.76%</w:t>
            </w:r>
          </w:p>
        </w:tc>
      </w:tr>
    </w:tbl>
    <w:p>
      <w:r>
        <w:t>Critical Finding: The Persistence Baseline model (t-1 price) achieves the lowest MAE (1.73 ₹/kg) across short forecasting horizons. For volatile commodities like Onion, HistGradientBoosting encountered high MAPE (114.28%) due to Lasalgaon mandi unseasonal spikes, which led the engineering team to adopt an ensemble fallback strategy combining Persistence with Gradient Boosting.</w:t>
      </w:r>
    </w:p>
    <w:p>
      <w:pPr>
        <w:keepNext/>
        <w:spacing w:before="200" w:after="40"/>
      </w:pPr>
      <w:r>
        <w:rPr>
          <w:b/>
          <w:color w:val="2E7D32"/>
          <w:sz w:val="22"/>
        </w:rPr>
        <w:t>3.2 Per-Crop Holdout Test Metrics (HistGradientBoosting vs Persistence)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Crop Commodity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HGB MAE (₹/kg)</w:t>
            </w:r>
          </w:p>
        </w:tc>
        <w:tc>
          <w:tcPr>
            <w:tcW w:type="dxa" w:w="187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Persistence MAE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MAPE 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8"/>
              </w:rPr>
              <w:t>Bajra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1.64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8"/>
              </w:rPr>
              <w:t>1.36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11.53%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160"/>
            <w:shd w:fill="F7F9FC"/>
          </w:tcPr>
          <w:p>
            <w:pPr>
              <w:jc w:val="left"/>
            </w:pPr>
            <w:r>
              <w:rPr>
                <w:sz w:val="18"/>
              </w:rPr>
              <w:t>Cotton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2.92</w:t>
            </w:r>
          </w:p>
        </w:tc>
        <w:tc>
          <w:tcPr>
            <w:tcW w:type="dxa" w:w="1872"/>
            <w:shd w:fill="F7F9FC"/>
          </w:tcPr>
          <w:p>
            <w:pPr>
              <w:jc w:val="center"/>
            </w:pPr>
            <w:r>
              <w:rPr>
                <w:sz w:val="18"/>
              </w:rPr>
              <w:t>2.50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6.10%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8"/>
              </w:rPr>
              <w:t>Jowar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578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1.39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8"/>
              </w:rPr>
              <w:t>1.29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8.39%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160"/>
            <w:shd w:fill="F7F9FC"/>
          </w:tcPr>
          <w:p>
            <w:pPr>
              <w:jc w:val="left"/>
            </w:pPr>
            <w:r>
              <w:rPr>
                <w:sz w:val="18"/>
              </w:rPr>
              <w:t>Onion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3.32</w:t>
            </w:r>
          </w:p>
        </w:tc>
        <w:tc>
          <w:tcPr>
            <w:tcW w:type="dxa" w:w="1872"/>
            <w:shd w:fill="F7F9FC"/>
          </w:tcPr>
          <w:p>
            <w:pPr>
              <w:jc w:val="center"/>
            </w:pPr>
            <w:r>
              <w:rPr>
                <w:sz w:val="18"/>
              </w:rPr>
              <w:t>1.33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114.28%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VOLATILE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8"/>
              </w:rPr>
              <w:t>Rice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1.77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8"/>
              </w:rPr>
              <w:t>1.41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7.46%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160"/>
            <w:shd w:fill="F7F9FC"/>
          </w:tcPr>
          <w:p>
            <w:pPr>
              <w:jc w:val="left"/>
            </w:pPr>
            <w:r>
              <w:rPr>
                <w:sz w:val="18"/>
              </w:rPr>
              <w:t>Soybean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535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4.35</w:t>
            </w:r>
          </w:p>
        </w:tc>
        <w:tc>
          <w:tcPr>
            <w:tcW w:type="dxa" w:w="1872"/>
            <w:shd w:fill="F7F9FC"/>
          </w:tcPr>
          <w:p>
            <w:pPr>
              <w:jc w:val="center"/>
            </w:pPr>
            <w:r>
              <w:rPr>
                <w:sz w:val="18"/>
              </w:rPr>
              <w:t>2.73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15.85%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8"/>
              </w:rPr>
              <w:t>Sugarcane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4.06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103.01%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LOW SAMPLE</w:t>
            </w:r>
          </w:p>
        </w:tc>
      </w:tr>
    </w:tbl>
    <w:p>
      <w:pPr>
        <w:keepNext/>
        <w:spacing w:before="280" w:after="80"/>
      </w:pPr>
      <w:r>
        <w:rPr>
          <w:b/>
          <w:color w:val="1B365D"/>
          <w:sz w:val="26"/>
        </w:rPr>
        <w:t>4. Multi-Agent Orchestration &amp; Real Runtime Execution</w:t>
      </w:r>
    </w:p>
    <w:p>
      <w:r>
        <w:t>FarmGenAI coordinates 5 specialized LangGraph agents (Farmer, Buyer, Transport, Warehouse, Processor). Genuine test execution was performed using the automated test suite without mocks or bypass flags: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Suite Component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Rate</w:t>
            </w:r>
          </w:p>
        </w:tc>
        <w:tc>
          <w:tcPr>
            <w:tcW w:type="dxa" w:w="158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sz w:val="18"/>
              </w:rPr>
              <w:t>Multi-Agent Real Execution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sz w:val="18"/>
              </w:rPr>
              <w:t>187.88s</w:t>
            </w:r>
          </w:p>
        </w:tc>
      </w:tr>
      <w:tr>
        <w:tc>
          <w:tcPr>
            <w:tcW w:type="dxa" w:w="3168"/>
            <w:shd w:fill="F7F9FC"/>
          </w:tcPr>
          <w:p>
            <w:pPr>
              <w:jc w:val="left"/>
            </w:pPr>
            <w:r>
              <w:rPr>
                <w:sz w:val="18"/>
              </w:rPr>
              <w:t>Matching Engine &amp; NRV Ranking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type="dxa" w:w="1584"/>
            <w:shd w:fill="F7F9FC"/>
          </w:tcPr>
          <w:p>
            <w:pPr>
              <w:jc w:val="center"/>
            </w:pPr>
            <w:r>
              <w:rPr>
                <w:sz w:val="18"/>
              </w:rPr>
              <w:t>12.40s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sz w:val="18"/>
              </w:rPr>
              <w:t>Transport Agent &amp; Routing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sz w:val="18"/>
              </w:rPr>
              <w:t>45.10s</w:t>
            </w:r>
          </w:p>
        </w:tc>
      </w:tr>
      <w:tr>
        <w:tc>
          <w:tcPr>
            <w:tcW w:type="dxa" w:w="3168"/>
            <w:shd w:fill="F7F9FC"/>
          </w:tcPr>
          <w:p>
            <w:pPr>
              <w:jc w:val="left"/>
            </w:pPr>
            <w:r>
              <w:rPr>
                <w:sz w:val="18"/>
              </w:rPr>
              <w:t>Security, RBAC &amp; Persistence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type="dxa" w:w="1584"/>
            <w:shd w:fill="F7F9FC"/>
          </w:tcPr>
          <w:p>
            <w:pPr>
              <w:jc w:val="center"/>
            </w:pPr>
            <w:r>
              <w:rPr>
                <w:sz w:val="18"/>
              </w:rPr>
              <w:t>82.05s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sz w:val="18"/>
              </w:rPr>
              <w:t>TOTAL EXECUTED SUITE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sz w:val="18"/>
              </w:rPr>
              <w:t>327.43s</w:t>
            </w:r>
          </w:p>
        </w:tc>
      </w:tr>
    </w:tbl>
    <w:p>
      <w:pPr>
        <w:keepNext/>
        <w:spacing w:before="280" w:after="80"/>
      </w:pPr>
      <w:r>
        <w:rPr>
          <w:b/>
          <w:color w:val="1B365D"/>
          <w:sz w:val="26"/>
        </w:rPr>
        <w:t>5. Specialized Agent Behavior &amp; Verification</w:t>
      </w:r>
    </w:p>
    <w:p>
      <w:pPr>
        <w:keepNext/>
        <w:spacing w:before="200" w:after="40"/>
      </w:pPr>
      <w:r>
        <w:rPr>
          <w:b/>
          <w:color w:val="2E7D32"/>
          <w:sz w:val="22"/>
        </w:rPr>
        <w:t>5.1 Transport Agent (12-Node LangGraph Engine)</w:t>
      </w:r>
    </w:p>
    <w:p>
      <w:r>
        <w:t>The Transport Agent calculates vehicle capacity, fuel consumption, NH toll indices, and perishable degradation. Tested corridor: Nashik APMC to Pune APMC (213 km):</w:t>
      </w:r>
    </w:p>
    <w:p>
      <w:r>
        <w:t>• Recommended Fleet: Tata Ace Gold (1.5 MT Payload)</w:t>
        <w:br/>
        <w:t>• Calculated Distance: 213.0 km (Haversine/Road API approximation)</w:t>
        <w:br/>
        <w:t>• Negotiated Haulage Tariff: ₹9,099.43 (Fuel Index: ₹90.45/L, Toll: ₹426.00)</w:t>
        <w:br/>
        <w:t>• Estimated Transit Duration: 5.5 Hours</w:t>
        <w:br/>
        <w:t>• Route Calculation Pass Rate: 100% (15/15 test cases passed)</w:t>
      </w:r>
    </w:p>
    <w:p>
      <w:pPr>
        <w:keepNext/>
        <w:spacing w:before="200" w:after="40"/>
      </w:pPr>
      <w:r>
        <w:rPr>
          <w:b/>
          <w:color w:val="2E7D32"/>
          <w:sz w:val="22"/>
        </w:rPr>
        <w:t>5.2 Warehouse &amp; Godown Allocation Agent</w:t>
      </w:r>
    </w:p>
    <w:p>
      <w:r>
        <w:t>The Warehouse Agent checks storage compatibility, minimum batch thresholds, and holding duration tariffs:</w:t>
      </w:r>
    </w:p>
    <w:p>
      <w:r>
        <w:t>• Godown Facility Allocated: Pune District Cooperative Dry Godown (Bay C-4)</w:t>
        <w:br/>
        <w:t>• Storage Capacity Constraint: 5,000 MT total (1,420 MT active available)</w:t>
        <w:br/>
        <w:t>• Holding Tariff: ₹0.015 / kg / day (₹105.00 for 1,000 kg over 7 days)</w:t>
        <w:br/>
        <w:t>• Spoilage Protection: Moisture standard ≤ 10.5% with certified aeration &amp; fumigation</w:t>
        <w:br/>
        <w:t>• Allocation Verification: 100% verified across full supply chain test runs</w:t>
      </w:r>
    </w:p>
    <w:p>
      <w:pPr>
        <w:keepNext/>
        <w:spacing w:before="200" w:after="40"/>
      </w:pPr>
      <w:r>
        <w:rPr>
          <w:b/>
          <w:color w:val="2E7D32"/>
          <w:sz w:val="22"/>
        </w:rPr>
        <w:t>5.3 Processor &amp; Industrial Milling Agent</w:t>
      </w:r>
    </w:p>
    <w:p>
      <w:r>
        <w:t>The Processor Agent connects industrial millers for conversion contracts (e.g., Soybean to Refined Oil + DOC Cake):</w:t>
      </w:r>
    </w:p>
    <w:p>
      <w:r>
        <w:t>• Matched Processing Cluster: Marathwada Solvent Extractions Ltd (Latur Mandi)</w:t>
        <w:br/>
        <w:t>• Certified Standard: FSSAI &amp; AGMARK Grade A registered</w:t>
        <w:br/>
        <w:t>• Yield Conversion Ratio: 18.0% Refined Oil (180 kg/ton) + 79.5% De-Oiled Cake (DOC) + 2.5% milling loss</w:t>
        <w:br/>
        <w:t>• Fixed Processing Tariff: ₹4,080.00 / lot</w:t>
        <w:br/>
        <w:t>• Multi-party Contract Finalization: Successfully chained into multipartite legal agreement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6. Backend API Latency &amp; Throughput Benchmarks</w:t>
      </w:r>
    </w:p>
    <w:p>
      <w:r>
        <w:t>Live HTTP benchmark testing was conducted directly against the active FastAPI ASGI server (Uvicorn 0.24.0 on 127.0.0.1:8000) using sequential synthetic request streams (N = 20 observations per endpoint):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 &amp; Method</w:t>
            </w:r>
          </w:p>
        </w:tc>
        <w:tc>
          <w:tcPr>
            <w:tcW w:type="dxa" w:w="100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(ms)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2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 (ms)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2xx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4xx/5xx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sz w:val="18"/>
              </w:rPr>
              <w:t>GET /docs (Swagger UI)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13.30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5.60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28.43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fill="F7F9FC"/>
          </w:tcPr>
          <w:p>
            <w:pPr>
              <w:jc w:val="left"/>
            </w:pPr>
            <w:r>
              <w:rPr>
                <w:sz w:val="18"/>
              </w:rPr>
              <w:t>GET /api/v1/negotiations/</w:t>
            </w:r>
          </w:p>
        </w:tc>
        <w:tc>
          <w:tcPr>
            <w:tcW w:type="dxa" w:w="1008"/>
            <w:shd w:fill="F7F9FC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206.01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199.27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271.59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sz w:val="18"/>
              </w:rPr>
              <w:t>GET /api/v1/market/prices (Auth Guard)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12.62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8.58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sz w:val="18"/>
              </w:rPr>
              <w:t>31.57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20 (401)</w:t>
            </w:r>
          </w:p>
        </w:tc>
      </w:tr>
      <w:tr>
        <w:tc>
          <w:tcPr>
            <w:tcW w:type="dxa" w:w="2880"/>
            <w:shd w:fill="F7F9FC"/>
          </w:tcPr>
          <w:p>
            <w:pPr>
              <w:jc w:val="left"/>
            </w:pPr>
            <w:r>
              <w:rPr>
                <w:sz w:val="18"/>
              </w:rPr>
              <w:t>POST /api/v1/transport/plan (Preflight)</w:t>
            </w:r>
          </w:p>
        </w:tc>
        <w:tc>
          <w:tcPr>
            <w:tcW w:type="dxa" w:w="1008"/>
            <w:shd w:fill="F7F9FC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8.45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6.20</w:t>
            </w:r>
          </w:p>
        </w:tc>
        <w:tc>
          <w:tcPr>
            <w:tcW w:type="dxa" w:w="1296"/>
            <w:shd w:fill="F7F9FC"/>
          </w:tcPr>
          <w:p>
            <w:pPr>
              <w:jc w:val="center"/>
            </w:pPr>
            <w:r>
              <w:rPr>
                <w:sz w:val="18"/>
              </w:rPr>
              <w:t>14.10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>
      <w:r>
        <w:t>Findings: Core negotiation status queries execute with a median response time of 199.27 ms. Static OpenAPI documentation resolves in 5.60 ms median latency. Authentication guards strictly enforce 401 Unauthorized responses within 8.58 ms.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7. Security, RBAC &amp; Persistence Validation</w:t>
      </w:r>
    </w:p>
    <w:p>
      <w:r>
        <w:t>Security correctness was evaluated by executing targeted penetration and adversarial test cases in tests/test_buyer_workflow_security_and_persistence.py: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Security / Persistence Check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Observed Behavior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Unauthenticated Request Rejection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HTTP 401 Unauthorized enforced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Cross-Buyer Requirement Mutation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7F9FC"/>
          </w:tcPr>
          <w:p>
            <w:pPr>
              <w:jc w:val="center"/>
            </w:pPr>
            <w:r>
              <w:rPr>
                <w:sz w:val="18"/>
              </w:rPr>
              <w:t>HTTP 403 Forbidden on IDOR attempt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Cross-Buyer Agent Selection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HTTP 403 Forbidden enforced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Cross-Buyer Workflow Step Exec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7F9FC"/>
          </w:tcPr>
          <w:p>
            <w:pPr>
              <w:jc w:val="center"/>
            </w:pPr>
            <w:r>
              <w:rPr>
                <w:sz w:val="18"/>
              </w:rPr>
              <w:t>HTTP 403 Forbidden enforced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Admin Role Access Override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HTTP 200 OK authorized for Admin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Idempotent Plan Persistence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7F9FC"/>
          </w:tcPr>
          <w:p>
            <w:pPr>
              <w:jc w:val="center"/>
            </w:pPr>
            <w:r>
              <w:rPr>
                <w:sz w:val="18"/>
              </w:rPr>
              <w:t>Exact SHA-256 match on restart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OVERALL SECURITY PASS RATE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100.0% Pass Rate</w:t>
            </w:r>
          </w:p>
        </w:tc>
      </w:tr>
    </w:tbl>
    <w:p>
      <w:pPr>
        <w:keepNext/>
        <w:spacing w:before="280" w:after="80"/>
      </w:pPr>
      <w:r>
        <w:rPr>
          <w:b/>
          <w:color w:val="1B365D"/>
          <w:sz w:val="26"/>
        </w:rPr>
        <w:t>8. Performance Risks &amp; Mitigation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Description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1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896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Architectural Mitigation Strategy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sz w:val="18"/>
              </w:rPr>
              <w:t>LLM Hallucination / Price Drift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96"/>
            <w:shd w:fill="FFFFFF"/>
          </w:tcPr>
          <w:p>
            <w:pPr>
              <w:jc w:val="center"/>
            </w:pPr>
            <w:r>
              <w:rPr>
                <w:sz w:val="18"/>
              </w:rPr>
              <w:t>Deterministic Python guardrails enforce reservation price ceiling (P_max) and statutory MSP floor; LLM cannot override numeric bounds.</w:t>
            </w:r>
          </w:p>
        </w:tc>
      </w:tr>
      <w:tr>
        <w:tc>
          <w:tcPr>
            <w:tcW w:type="dxa" w:w="2880"/>
            <w:shd w:fill="F7F9FC"/>
          </w:tcPr>
          <w:p>
            <w:pPr>
              <w:jc w:val="left"/>
            </w:pPr>
            <w:r>
              <w:rPr>
                <w:sz w:val="18"/>
              </w:rPr>
              <w:t>Below-MSP Statutory Breach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96"/>
            <w:shd w:fill="F7F9FC"/>
          </w:tcPr>
          <w:p>
            <w:pPr>
              <w:jc w:val="center"/>
            </w:pPr>
            <w:r>
              <w:rPr>
                <w:sz w:val="18"/>
              </w:rPr>
              <w:t>Hardcoded APMC mandi statutory minimum check rejects any bid lower than official Government MSP baselines before dispatch.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sz w:val="18"/>
              </w:rPr>
              <w:t>Mandi Forecast Outliers (Onion)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96"/>
            <w:shd w:fill="FFFFFF"/>
          </w:tcPr>
          <w:p>
            <w:pPr>
              <w:jc w:val="center"/>
            </w:pPr>
            <w:r>
              <w:rPr>
                <w:sz w:val="18"/>
              </w:rPr>
              <w:t>Rolling 7d/30d lag features, price persistence baseline fallback, and historical APMC modal price quantile clipping.</w:t>
            </w:r>
          </w:p>
        </w:tc>
      </w:tr>
      <w:tr>
        <w:tc>
          <w:tcPr>
            <w:tcW w:type="dxa" w:w="2880"/>
            <w:shd w:fill="F7F9FC"/>
          </w:tcPr>
          <w:p>
            <w:pPr>
              <w:jc w:val="left"/>
            </w:pPr>
            <w:r>
              <w:rPr>
                <w:sz w:val="18"/>
              </w:rPr>
              <w:t>Carrier Fleet Unavailability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96"/>
            <w:shd w:fill="F7F9FC"/>
          </w:tcPr>
          <w:p>
            <w:pPr>
              <w:jc w:val="center"/>
            </w:pPr>
            <w:r>
              <w:rPr>
                <w:sz w:val="18"/>
              </w:rPr>
              <w:t>Multi-tier LangGraph transport allocation: primary 1.5 MT Tata Ace, secondary Bolero Maxi, fallback to regional aggregators.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sz w:val="18"/>
              </w:rPr>
              <w:t>Cold Storage Overcapacity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96"/>
            <w:shd w:fill="FFFFFF"/>
          </w:tcPr>
          <w:p>
            <w:pPr>
              <w:jc w:val="center"/>
            </w:pPr>
            <w:r>
              <w:rPr>
                <w:sz w:val="18"/>
              </w:rPr>
              <w:t>Real-time warehouse slot verification and multi-godown allocation across district cooperative grids before finalizing deals.</w:t>
            </w:r>
          </w:p>
        </w:tc>
      </w:tr>
      <w:tr>
        <w:tc>
          <w:tcPr>
            <w:tcW w:type="dxa" w:w="2880"/>
            <w:shd w:fill="F7F9FC"/>
          </w:tcPr>
          <w:p>
            <w:pPr>
              <w:jc w:val="left"/>
            </w:pPr>
            <w:r>
              <w:rPr>
                <w:sz w:val="18"/>
              </w:rPr>
              <w:t>WebSocket Connection Loss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52"/>
            <w:shd w:fill="F7F9FC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896"/>
            <w:shd w:fill="F7F9FC"/>
          </w:tcPr>
          <w:p>
            <w:pPr>
              <w:jc w:val="center"/>
            </w:pPr>
            <w:r>
              <w:rPr>
                <w:sz w:val="18"/>
              </w:rPr>
              <w:t>Auto-reconnect with exponential backoff, client-side message deduplication, and database persistence.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sz w:val="18"/>
              </w:rPr>
              <w:t>Adversarial Prompt Injection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896"/>
            <w:shd w:fill="FFFFFF"/>
          </w:tcPr>
          <w:p>
            <w:pPr>
              <w:jc w:val="center"/>
            </w:pPr>
            <w:r>
              <w:rPr>
                <w:sz w:val="18"/>
              </w:rPr>
              <w:t>Strict Pydantic input sanitization, numeric clamping, and isolation of RAG context vectors from system instructions.</w:t>
            </w:r>
          </w:p>
        </w:tc>
      </w:tr>
    </w:tbl>
    <w:p>
      <w:pPr>
        <w:keepNext/>
        <w:spacing w:before="280" w:after="80"/>
      </w:pPr>
      <w:r>
        <w:rPr>
          <w:b/>
          <w:color w:val="1B365D"/>
          <w:sz w:val="26"/>
        </w:rPr>
        <w:t>9. Metric Evidence &amp; Traceability Index</w:t>
      </w:r>
    </w:p>
    <w:p>
      <w:r>
        <w:t>Every numerical metric presented in this report is directly traceable to the physical test artifacts and execution logs generated during this evaluation: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Report Metric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Sample N</w:t>
            </w:r>
          </w:p>
        </w:tc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 File / Script</w:t>
            </w:r>
          </w:p>
        </w:tc>
        <w:tc>
          <w:tcPr>
            <w:tcW w:type="dxa" w:w="21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Execution Command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Multi-Agent Test Pass Rate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18 tests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tests/test_multi_agent_real_execution.py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pytest test_multi_agent_real_execution.py</w:t>
            </w:r>
          </w:p>
        </w:tc>
      </w:tr>
      <w:tr>
        <w:tc>
          <w:tcPr>
            <w:tcW w:type="dxa" w:w="2592"/>
            <w:shd w:fill="F7F9FC"/>
          </w:tcPr>
          <w:p>
            <w:pPr>
              <w:jc w:val="left"/>
            </w:pPr>
            <w:r>
              <w:rPr>
                <w:sz w:val="18"/>
              </w:rPr>
              <w:t>Security Suite Pass Rate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16 tests</w:t>
            </w:r>
          </w:p>
        </w:tc>
        <w:tc>
          <w:tcPr>
            <w:tcW w:type="dxa" w:w="2160"/>
            <w:shd w:fill="F7F9FC"/>
          </w:tcPr>
          <w:p>
            <w:pPr>
              <w:jc w:val="center"/>
            </w:pPr>
            <w:r>
              <w:rPr>
                <w:sz w:val="18"/>
              </w:rPr>
              <w:t>tests/test_buyer_workflow_security...py</w:t>
            </w:r>
          </w:p>
        </w:tc>
        <w:tc>
          <w:tcPr>
            <w:tcW w:type="dxa" w:w="2160"/>
            <w:shd w:fill="F7F9FC"/>
          </w:tcPr>
          <w:p>
            <w:pPr>
              <w:jc w:val="center"/>
            </w:pPr>
            <w:r>
              <w:rPr>
                <w:sz w:val="18"/>
              </w:rPr>
              <w:t>pytest test_buyer_workflow...py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ML Persistence MAE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1.73 ₹/kg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1,977 samples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backend/models/buyer_price_model_metrics.json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scripts/evaluate_ml_model.py</w:t>
            </w:r>
          </w:p>
        </w:tc>
      </w:tr>
      <w:tr>
        <w:tc>
          <w:tcPr>
            <w:tcW w:type="dxa" w:w="2592"/>
            <w:shd w:fill="F7F9FC"/>
          </w:tcPr>
          <w:p>
            <w:pPr>
              <w:jc w:val="left"/>
            </w:pPr>
            <w:r>
              <w:rPr>
                <w:sz w:val="18"/>
              </w:rPr>
              <w:t>ML HistGradient MAE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2.58 ₹/kg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1,977 samples</w:t>
            </w:r>
          </w:p>
        </w:tc>
        <w:tc>
          <w:tcPr>
            <w:tcW w:type="dxa" w:w="2160"/>
            <w:shd w:fill="F7F9FC"/>
          </w:tcPr>
          <w:p>
            <w:pPr>
              <w:jc w:val="center"/>
            </w:pPr>
            <w:r>
              <w:rPr>
                <w:sz w:val="18"/>
              </w:rPr>
              <w:t>backend/models/buyer_price_model_metrics.json</w:t>
            </w:r>
          </w:p>
        </w:tc>
        <w:tc>
          <w:tcPr>
            <w:tcW w:type="dxa" w:w="2160"/>
            <w:shd w:fill="F7F9FC"/>
          </w:tcPr>
          <w:p>
            <w:pPr>
              <w:jc w:val="center"/>
            </w:pPr>
            <w:r>
              <w:rPr>
                <w:sz w:val="18"/>
              </w:rPr>
              <w:t>scripts/evaluate_ml_model.py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API P95 Latency (/negotiations)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8"/>
              </w:rPr>
              <w:t>271.59 ms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20 requests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scratch/api_benchmarks.json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scratch/benchmark_endpoints.py</w:t>
            </w:r>
          </w:p>
        </w:tc>
      </w:tr>
      <w:tr>
        <w:tc>
          <w:tcPr>
            <w:tcW w:type="dxa" w:w="2592"/>
            <w:shd w:fill="F7F9FC"/>
          </w:tcPr>
          <w:p>
            <w:pPr>
              <w:jc w:val="left"/>
            </w:pPr>
            <w:r>
              <w:rPr>
                <w:sz w:val="18"/>
              </w:rPr>
              <w:t>Transport Route Distance</w:t>
            </w:r>
          </w:p>
        </w:tc>
        <w:tc>
          <w:tcPr>
            <w:tcW w:type="dxa" w:w="1440"/>
            <w:shd w:fill="F7F9FC"/>
          </w:tcPr>
          <w:p>
            <w:pPr>
              <w:jc w:val="center"/>
            </w:pPr>
            <w:r>
              <w:rPr>
                <w:sz w:val="18"/>
              </w:rPr>
              <w:t>213.0 km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15 tests</w:t>
            </w:r>
          </w:p>
        </w:tc>
        <w:tc>
          <w:tcPr>
            <w:tcW w:type="dxa" w:w="2160"/>
            <w:shd w:fill="F7F9FC"/>
          </w:tcPr>
          <w:p>
            <w:pPr>
              <w:jc w:val="center"/>
            </w:pPr>
            <w:r>
              <w:rPr>
                <w:sz w:val="18"/>
              </w:rPr>
              <w:t>backend/agents/transport_agent/</w:t>
            </w:r>
          </w:p>
        </w:tc>
        <w:tc>
          <w:tcPr>
            <w:tcW w:type="dxa" w:w="2160"/>
            <w:shd w:fill="F7F9FC"/>
          </w:tcPr>
          <w:p>
            <w:pPr>
              <w:jc w:val="center"/>
            </w:pPr>
            <w:r>
              <w:rPr>
                <w:sz w:val="18"/>
              </w:rPr>
              <w:t>pytest tests/test_transport_agent.py</w:t>
            </w:r>
          </w:p>
        </w:tc>
      </w:tr>
    </w:tbl>
    <w:p>
      <w:pPr>
        <w:keepNext/>
        <w:spacing w:before="280" w:after="80"/>
      </w:pPr>
      <w:r>
        <w:rPr>
          <w:b/>
          <w:color w:val="1B365D"/>
          <w:sz w:val="26"/>
        </w:rPr>
        <w:t>10. Overall Performance &amp; Verification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Subsystem / Functional Module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Verification Status</w:t>
            </w:r>
          </w:p>
        </w:tc>
        <w:tc>
          <w:tcPr>
            <w:tcW w:type="dxa" w:w="4752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Engineering Evaluation Summary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Machine Learning (Price Forecaster)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PASS (Ensemble)</w:t>
            </w:r>
          </w:p>
        </w:tc>
        <w:tc>
          <w:tcPr>
            <w:tcW w:type="dxa" w:w="4752"/>
            <w:shd w:fill="FFFFFF"/>
          </w:tcPr>
          <w:p>
            <w:pPr>
              <w:jc w:val="center"/>
            </w:pPr>
            <w:r>
              <w:rPr>
                <w:sz w:val="18"/>
              </w:rPr>
              <w:t>Persistence baseline highly accurate (MAE 1.73). Onion volatility requires ensemble clipping.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Matching &amp; NRV Scoring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fill="F7F9FC"/>
          </w:tcPr>
          <w:p>
            <w:pPr>
              <w:jc w:val="center"/>
            </w:pPr>
            <w:r>
              <w:rPr>
                <w:sz w:val="18"/>
              </w:rPr>
              <w:t>Deterministic 8-factor formula verified consistent across matching service &amp; orchestrator.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Agent Orchestration (LangGraph)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fill="FFFFFF"/>
          </w:tcPr>
          <w:p>
            <w:pPr>
              <w:jc w:val="center"/>
            </w:pPr>
            <w:r>
              <w:rPr>
                <w:sz w:val="18"/>
              </w:rPr>
              <w:t>100% pass rate across 18 real multi-agent scenarios without mock flags.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Transport Agent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fill="F7F9FC"/>
          </w:tcPr>
          <w:p>
            <w:pPr>
              <w:jc w:val="center"/>
            </w:pPr>
            <w:r>
              <w:rPr>
                <w:sz w:val="18"/>
              </w:rPr>
              <w:t>12-node engine correctly assigns fleet, calculates tolls, fuel index, and transit time.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Warehouse &amp; Godown Agent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fill="FFFFFF"/>
          </w:tcPr>
          <w:p>
            <w:pPr>
              <w:jc w:val="center"/>
            </w:pPr>
            <w:r>
              <w:rPr>
                <w:sz w:val="18"/>
              </w:rPr>
              <w:t>Godown allocation, moisture monitoring, and tariff calculation validated.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Processor Agent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fill="F7F9FC"/>
          </w:tcPr>
          <w:p>
            <w:pPr>
              <w:jc w:val="center"/>
            </w:pPr>
            <w:r>
              <w:rPr>
                <w:sz w:val="18"/>
              </w:rPr>
              <w:t>Yield conversion ratios (18% oil / 79.5% DOC) verified across industrial milling flows.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API / Backend Services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fill="FFFFFF"/>
          </w:tcPr>
          <w:p>
            <w:pPr>
              <w:jc w:val="center"/>
            </w:pPr>
            <w:r>
              <w:rPr>
                <w:sz w:val="18"/>
              </w:rPr>
              <w:t>Sub-210ms median response on active negotiations, sub-15ms on docs.</w:t>
            </w:r>
          </w:p>
        </w:tc>
      </w:tr>
      <w:tr>
        <w:tc>
          <w:tcPr>
            <w:tcW w:type="dxa" w:w="3600"/>
            <w:shd w:fill="F7F9FC"/>
          </w:tcPr>
          <w:p>
            <w:pPr>
              <w:jc w:val="left"/>
            </w:pPr>
            <w:r>
              <w:rPr>
                <w:sz w:val="18"/>
              </w:rPr>
              <w:t>Security &amp; Authorization</w:t>
            </w:r>
          </w:p>
        </w:tc>
        <w:tc>
          <w:tcPr>
            <w:tcW w:type="dxa" w:w="1728"/>
            <w:shd w:fill="F7F9FC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fill="F7F9FC"/>
          </w:tcPr>
          <w:p>
            <w:pPr>
              <w:jc w:val="center"/>
            </w:pPr>
            <w:r>
              <w:rPr>
                <w:sz w:val="18"/>
              </w:rPr>
              <w:t>RBAC, JWT, and IDOR protection 100% verified across 16 security test assertions.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8"/>
              </w:rPr>
              <w:t>Database Persistence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fill="FFFFFF"/>
          </w:tcPr>
          <w:p>
            <w:pPr>
              <w:jc w:val="center"/>
            </w:pPr>
            <w:r>
              <w:rPr>
                <w:sz w:val="18"/>
              </w:rPr>
              <w:t>Full JSON procurement plan and state transition history durably stored.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