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Override ContentType="application/vnd.openxmlformats-officedocument.wordprocessingml.header+xml" PartName="/word/header4.xml"/>
  <Override ContentType="application/vnd.openxmlformats-officedocument.wordprocessingml.footer+xml" PartName="/word/footer4.xml"/>
  <Override ContentType="application/vnd.openxmlformats-officedocument.wordprocessingml.header+xml" PartName="/word/header5.xml"/>
  <Override ContentType="application/vnd.openxmlformats-officedocument.wordprocessingml.footer+xml" PartName="/word/footer5.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900" w:after="400"/>
        <w:jc w:val="center"/>
      </w:pPr>
      <w:r>
        <w:rPr>
          <w:b w:val="true"/>
          <w:bCs w:val="true"/>
          <w:sz w:val="48"/>
          <w:szCs w:val="48"/>
          <w:rFonts w:ascii="Times New Roman" w:cs="Times New Roman" w:eastAsia="Times New Roman" w:hAnsi="Times New Roman"/>
        </w:rPr>
        <w:t xml:space="preserve">Proposal:</w:t>
      </w:r>
    </w:p>
    <w:p>
      <w:pPr>
        <w:spacing w:before="400" w:after="900"/>
        <w:jc w:val="center"/>
      </w:pPr>
      <w:r>
        <w:rPr>
          <w:b w:val="true"/>
          <w:bCs w:val="true"/>
          <w:sz w:val="36"/>
          <w:szCs w:val="36"/>
          <w:rFonts w:ascii="Times New Roman" w:cs="Times New Roman" w:eastAsia="Times New Roman" w:hAnsi="Times New Roman"/>
        </w:rPr>
        <w:t xml:space="preserve">Spill Control and Countermeasure Plan (SPCC Plan) Site Evaluation &amp; SPCC Drafting</w:t>
      </w:r>
    </w:p>
    <w:p>
      <w:pPr>
        <w:spacing w:before="1800" w:after="300"/>
        <w:jc w:val="center"/>
      </w:pPr>
      <w:r>
        <w:rPr>
          <w:i w:val="true"/>
          <w:iCs w:val="true"/>
          <w:sz w:val="28"/>
          <w:szCs w:val="28"/>
          <w:rFonts w:ascii="Times New Roman" w:cs="Times New Roman" w:eastAsia="Times New Roman" w:hAnsi="Times New Roman"/>
        </w:rPr>
        <w:t xml:space="preserve">Submitted To</w:t>
      </w:r>
    </w:p>
    <w:p>
      <w:pPr>
        <w:spacing w:before="400"/>
        <w:jc w:val="center"/>
      </w:pPr>
      <w:r>
        <w:rPr>
          <w:b w:val="true"/>
          <w:bCs w:val="true"/>
          <w:sz w:val="36"/>
          <w:szCs w:val="36"/>
          <w:rFonts w:ascii="Times New Roman" w:cs="Times New Roman" w:eastAsia="Times New Roman" w:hAnsi="Times New Roman"/>
        </w:rPr>
        <w:t xml:space="preserve">Ed Staub &amp; Sons Petroleum, Inc.</w:t>
      </w:r>
    </w:p>
    <w:p>
      <w:pPr>
        <w:jc w:val="center"/>
      </w:pPr>
      <w:r>
        <w:rPr>
          <w:b w:val="true"/>
          <w:bCs w:val="true"/>
          <w:sz w:val="28"/>
          <w:szCs w:val="28"/>
          <w:rFonts w:ascii="Times New Roman" w:cs="Times New Roman" w:eastAsia="Times New Roman" w:hAnsi="Times New Roman"/>
        </w:rPr>
        <w:t xml:space="preserve">Test Address line 1</w:t>
      </w:r>
    </w:p>
    <w:p>
      <w:pPr>
        <w:jc w:val="center"/>
      </w:pPr>
      <w:r>
        <w:rPr>
          <w:b w:val="true"/>
          <w:bCs w:val="true"/>
          <w:sz w:val="28"/>
          <w:szCs w:val="28"/>
          <w:rFonts w:ascii="Times New Roman" w:cs="Times New Roman" w:eastAsia="Times New Roman" w:hAnsi="Times New Roman"/>
        </w:rPr>
        <w:t xml:space="preserve">Klamath Falls, OR 97601</w:t>
      </w:r>
    </w:p>
    <w:p>
      <w:pPr>
        <w:spacing w:before="500" w:after="500"/>
        <w:jc w:val="center"/>
      </w:pPr>
      <w:r>
        <w:rPr>
          <w:b w:val="true"/>
          <w:bCs w:val="true"/>
          <w:sz w:val="28"/>
          <w:szCs w:val="28"/>
          <w:rFonts w:ascii="Times New Roman" w:cs="Times New Roman" w:eastAsia="Times New Roman" w:hAnsi="Times New Roman"/>
        </w:rPr>
        <w:t xml:space="preserve">24 11 2020</w:t>
      </w:r>
    </w:p>
    <w:p>
      <w:pPr>
        <w:spacing w:before="200" w:after="200"/>
        <w:jc w:val="center"/>
      </w:pPr>
      <w:r>
        <w:drawing>
          <wp:inline distT="0" distB="0" distL="0" distR="0">
            <wp:extent cx="3810000" cy="857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3810000" cy="857250"/>
                      <a:off x="0" y="0"/>
                    </a:xfrm>
                    <a:prstGeom prst="rect">
                      <a:avLst/>
                    </a:prstGeom>
                  </pic:spPr>
                </pic:pic>
              </a:graphicData>
            </a:graphic>
          </wp:inline>
        </w:drawing>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spacing w:before="500" w:after="200"/>
        <w:jc w:val="center"/>
      </w:pPr>
      <w:r>
        <w:rPr>
          <w:sz w:val="28"/>
          <w:szCs w:val="28"/>
          <w:rFonts w:ascii="Times New Roman" w:cs="Times New Roman" w:eastAsia="Times New Roman" w:hAnsi="Times New Roman"/>
        </w:rPr>
        <w:t xml:space="preserve">Pacific Engineering &amp; Consulting</w:t>
      </w:r>
    </w:p>
    <w:p>
      <w:pPr>
        <w:spacing w:before="200" w:after="700"/>
        <w:jc w:val="center"/>
      </w:pPr>
      <w:r>
        <w:rPr>
          <w:u w:val="single"/>
          <w:sz w:val="24"/>
          <w:szCs w:val="24"/>
          <w:rFonts w:ascii="Times New Roman" w:cs="Times New Roman" w:eastAsia="Times New Roman" w:hAnsi="Times New Roman"/>
        </w:rPr>
        <w:t xml:space="preserve">Company Credentials and Certifications</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70%"/>
        <w:tblpPr w:tblpX="300"/>
      </w:tblPr>
      <w:tblGrid>
        <w:gridCol w:w="100"/>
        <w:gridCol w:w="100"/>
      </w:tblGrid>
      <w:tr>
        <w:trPr>
          <w:trHeight w:val="900" w:hRule="exact"/>
        </w:trPr>
        <w:tc>
          <w:tcPr>
            <w:tcBorders>
              <w:top w:color="white"/>
              <w:bottom w:color="white"/>
              <w:left w:color="white"/>
              <w:right w:color="white"/>
            </w:tcBorders>
            <w:tcMar>
              <w:top w:w="0" w:type="dxa"/>
              <w:bottom w:w="100" w:type="dxa"/>
              <w:end w:w="0" w:type="dxa"/>
              <w:start w:w="0" w:type="dxa"/>
            </w:tcMar>
            <w:tcW w:w="3600" w:type="dxa"/>
          </w:tcPr>
          <w:p>
            <w:r>
              <w:rPr>
                <w:b w:val="true"/>
                <w:bCs w:val="true"/>
                <w:sz w:val="24"/>
                <w:szCs w:val="24"/>
                <w:rFonts w:ascii="Times New Roman" w:cs="Times New Roman" w:eastAsia="Times New Roman" w:hAnsi="Times New Roman"/>
              </w:rPr>
              <w:t xml:space="preserve">Name of Organization: </w:t>
            </w:r>
          </w:p>
        </w:tc>
        <w:tc>
          <w:tcPr>
            <w:tcBorders>
              <w:top w:color="white"/>
              <w:bottom w:color="white"/>
              <w:left w:color="white"/>
              <w:right w:color="white"/>
            </w:tcBorders>
            <w:tcW w:w="2400" w:type="dxa"/>
          </w:tcPr>
          <w:p>
            <w:r>
              <w:rPr>
                <w:sz w:val="24"/>
                <w:szCs w:val="24"/>
                <w:rFonts w:ascii="Times New Roman" w:cs="Times New Roman" w:eastAsia="Times New Roman" w:hAnsi="Times New Roman"/>
              </w:rPr>
              <w:t xml:space="preserve">Pacific Engineering &amp; Consulting </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Office Address: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1788 N Helm Ave Suite 112 Fresno CA, 93727</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Web Address: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www.pacificmgt.com</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Telephone Number: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(559) 251-4060</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Fax: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(559) 251-4060</w:t>
            </w:r>
          </w:p>
        </w:tc>
      </w:tr>
      <w:tr>
        <w:trPr>
          <w:trHeight w:val="9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DUNS Number: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196553770</w:t>
            </w:r>
          </w:p>
        </w:tc>
      </w:tr>
      <w:tr>
        <w:trPr>
          <w:trHeight w:val="1500" w:hRule="exact"/>
        </w:trPr>
        <w:tc>
          <w:tcPr>
            <w:tcBorders>
              <w:top w:color="white"/>
              <w:bottom w:color="white"/>
              <w:left w:color="white"/>
              <w:right w:color="white"/>
            </w:tcBorders>
            <w:tcMar>
              <w:top w:w="0" w:type="dxa"/>
              <w:bottom w:w="600" w:type="dxa"/>
              <w:end w:w="0" w:type="dxa"/>
              <w:start w:w="0" w:type="dxa"/>
            </w:tcMar>
          </w:tcPr>
          <w:p>
            <w:r>
              <w:rPr>
                <w:b w:val="true"/>
                <w:bCs w:val="true"/>
                <w:sz w:val="24"/>
                <w:szCs w:val="24"/>
                <w:rFonts w:ascii="Times New Roman" w:cs="Times New Roman" w:eastAsia="Times New Roman" w:hAnsi="Times New Roman"/>
              </w:rPr>
              <w:t xml:space="preserve">Size of Company: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Small under NAICS</w:t>
            </w:r>
          </w:p>
          <w:p>
            <w:r>
              <w:rPr>
                <w:sz w:val="24"/>
                <w:szCs w:val="24"/>
                <w:rFonts w:ascii="Times New Roman" w:cs="Times New Roman" w:eastAsia="Times New Roman" w:hAnsi="Times New Roman"/>
              </w:rPr>
              <w:t xml:space="preserve">541330 - Engineering Services</w:t>
            </w:r>
          </w:p>
          <w:p>
            <w:r>
              <w:rPr>
                <w:sz w:val="24"/>
                <w:szCs w:val="24"/>
                <w:rFonts w:ascii="Times New Roman" w:cs="Times New Roman" w:eastAsia="Times New Roman" w:hAnsi="Times New Roman"/>
              </w:rPr>
              <w:t xml:space="preserve">541620 - Environmental Consulting Service</w:t>
            </w:r>
          </w:p>
          <w:p>
            <w:r>
              <w:rPr>
                <w:sz w:val="24"/>
                <w:szCs w:val="24"/>
                <w:rFonts w:ascii="Times New Roman" w:cs="Times New Roman" w:eastAsia="Times New Roman" w:hAnsi="Times New Roman"/>
              </w:rPr>
              <w:t xml:space="preserve">541690 - Other Scientific and Technical Consulting Services</w:t>
            </w:r>
          </w:p>
        </w:tc>
      </w:tr>
      <w:tr>
        <w:trPr>
          <w:trHeight w:val="1200" w:hRule="exact"/>
        </w:trPr>
        <w:tc>
          <w:tcPr>
            <w:tcBorders>
              <w:top w:color="white"/>
              <w:bottom w:color="white"/>
              <w:left w:color="white"/>
              <w:right w:color="white"/>
            </w:tcBorders>
            <w:tcMar>
              <w:top w:w="0" w:type="dxa"/>
              <w:bottom w:w="100" w:type="dxa"/>
              <w:end w:w="0" w:type="dxa"/>
              <w:start w:w="0" w:type="dxa"/>
            </w:tcMar>
          </w:tcPr>
          <w:p>
            <w:r>
              <w:rPr>
                <w:b w:val="true"/>
                <w:bCs w:val="true"/>
                <w:sz w:val="24"/>
                <w:szCs w:val="24"/>
                <w:rFonts w:ascii="Times New Roman" w:cs="Times New Roman" w:eastAsia="Times New Roman" w:hAnsi="Times New Roman"/>
              </w:rPr>
              <w:t xml:space="preserve">Point of Contact: </w:t>
            </w:r>
          </w:p>
        </w:tc>
        <w:tc>
          <w:tcPr>
            <w:tcBorders>
              <w:top w:color="white"/>
              <w:bottom w:color="white"/>
              <w:left w:color="white"/>
              <w:right w:color="white"/>
            </w:tcBorders>
          </w:tcPr>
          <w:p>
            <w:r>
              <w:rPr>
                <w:sz w:val="24"/>
                <w:szCs w:val="24"/>
                <w:rFonts w:ascii="Times New Roman" w:cs="Times New Roman" w:eastAsia="Times New Roman" w:hAnsi="Times New Roman"/>
              </w:rPr>
              <w:t xml:space="preserve">Daniel Elliott</w:t>
            </w:r>
          </w:p>
          <w:p>
            <w:r>
              <w:rPr>
                <w:sz w:val="24"/>
                <w:szCs w:val="24"/>
                <w:rFonts w:ascii="Times New Roman" w:cs="Times New Roman" w:eastAsia="Times New Roman" w:hAnsi="Times New Roman"/>
              </w:rPr>
              <w:t xml:space="preserve">Project Manager</w:t>
            </w:r>
          </w:p>
          <w:p>
            <w:r>
              <w:rPr>
                <w:sz w:val="24"/>
                <w:szCs w:val="24"/>
                <w:rFonts w:ascii="Times New Roman" w:cs="Times New Roman" w:eastAsia="Times New Roman" w:hAnsi="Times New Roman"/>
              </w:rPr>
              <w:t xml:space="preserve">(559) 251-4060 ext. 105</w:t>
            </w:r>
          </w:p>
          <w:p>
            <w:r>
              <w:rPr>
                <w:sz w:val="24"/>
                <w:szCs w:val="24"/>
                <w:rFonts w:ascii="Times New Roman" w:cs="Times New Roman" w:eastAsia="Times New Roman" w:hAnsi="Times New Roman"/>
              </w:rPr>
              <w:t xml:space="preserve">daniel@pacificmgt.com</w:t>
            </w:r>
          </w:p>
        </w:tc>
      </w:tr>
    </w:tbl>
    <w:p>
      <w:r>
        <w:drawing>
          <wp:inline distT="0" distB="0" distL="0" distR="0">
            <wp:extent cx="2000250" cy="61912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2000250" cy="6191250"/>
                      <a:off x="0" y="0"/>
                    </a:xfrm>
                    <a:prstGeom prst="rect">
                      <a:avLst/>
                    </a:prstGeom>
                  </pic:spPr>
                </pic:pic>
              </a:graphicData>
            </a:graphic>
          </wp:inline>
        </w:drawing>
      </w:r>
    </w:p>
    <w:p>
      <w:pPr>
        <w:sectPr>
          <w:pgSz w:w="11906" w:h="16838" w:orient="portrait"/>
          <w:pgMar w:top="1440" w:right="700" w:bottom="1440" w:left="700" w:header="708" w:footer="708" w:gutter="0" w:mirrorMargins="false"/>
          <w:cols w:space="708" w:num="1"/>
          <w:docGrid w:linePitch="360"/>
          <w:headerReference w:type="default" r:id="rId7"/>
          <w:footerReference w:type="default" r:id="rId8"/>
        </w:sectPr>
      </w:pPr>
    </w:p>
    <w:p>
      <w:pPr>
        <w:spacing w:before="400" w:after="3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Introduction: </w:t>
      </w:r>
    </w:p>
    <w:p>
      <w:pPr>
        <w:spacing w:after="500"/>
        <w:jc w:val="left"/>
        <w:ind w:left="1200" w:end="300"/>
      </w:pPr>
      <w:r>
        <w:rPr>
          <w:sz w:val="24"/>
          <w:szCs w:val="24"/>
          <w:rFonts w:ascii="Times New Roman" w:cs="Times New Roman" w:eastAsia="Times New Roman" w:hAnsi="Times New Roman"/>
        </w:rPr>
        <w:t xml:space="preserve">	Pacific Engineering &amp; Consulting was founded in 1982 and is headquartered in Fresno, CA. We currently specialize in engineering and environmental services, specifically in performing certified inspection(s) and SPCC Plans. Pacific Engineering &amp; Consulting has conducted Aboveground and Underground Storage Tank (AST/UST) inspections and testing for a variety of US Government agencies and Private Industry customers.  We have also done pressure testing, pressure vessel inspection, Spill Prevention Control and Countermeasure (SPCC) plans, Facility Response Plans (FRP). For government and commercial customers throughout the continental US. Pacific Engineering &amp; Consulting is certified to conduct a variety of inspections including: storage tanks, piping, pressure vessels, OSHA’s Process Safety Management integrity inspections, Non-Destructive Examination, National Association of Corrosion Engineer’s coatings, and cathodic protection systems.</w:t>
      </w:r>
    </w:p>
    <w:p>
      <w:pPr>
        <w:spacing w:after="3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Project Approach: </w:t>
      </w:r>
    </w:p>
    <w:p>
      <w:pPr>
        <w:jc w:val="left"/>
        <w:ind w:left="400" w:end="300"/>
      </w:pPr>
      <w:r>
        <w:rPr>
          <w:sz w:val="24"/>
          <w:szCs w:val="24"/>
          <w:rFonts w:ascii="Times New Roman" w:cs="Times New Roman" w:eastAsia="Times New Roman" w:hAnsi="Times New Roman"/>
        </w:rPr>
        <w:t xml:space="preserve">We propose the following scope of services to maintain compliance with the SPCC Rules and Regulations: </w:t>
      </w:r>
    </w:p>
    <w:p>
      <w:pPr>
        <w:jc w:val="left"/>
        <w:ind w:left="1200" w:end="300"/>
        <w:pStyle w:val="ListParagraph"/>
        <w:numPr>
          <w:ilvl w:val="1"/>
          <w:numId w:val="3"/>
        </w:numPr>
      </w:pPr>
      <w:r>
        <w:rPr>
          <w:sz w:val="24"/>
          <w:szCs w:val="24"/>
          <w:rFonts w:ascii="Times New Roman" w:cs="Times New Roman" w:eastAsia="Times New Roman" w:hAnsi="Times New Roman"/>
        </w:rPr>
        <w:t xml:space="preserve">Conduct a site compliance evaluation and walk-down each oil storage container/tank.</w:t>
      </w:r>
    </w:p>
    <w:p>
      <w:pPr>
        <w:jc w:val="left"/>
        <w:ind w:left="1200" w:end="300"/>
        <w:pStyle w:val="ListParagraph"/>
        <w:numPr>
          <w:ilvl w:val="1"/>
          <w:numId w:val="3"/>
        </w:numPr>
      </w:pPr>
      <w:r>
        <w:rPr>
          <w:sz w:val="24"/>
          <w:szCs w:val="24"/>
          <w:rFonts w:ascii="Times New Roman" w:cs="Times New Roman" w:eastAsia="Times New Roman" w:hAnsi="Times New Roman"/>
        </w:rPr>
        <w:t xml:space="preserve">Determine the type and construction standard of every oil storage container/tank.</w:t>
      </w:r>
    </w:p>
    <w:p>
      <w:pPr>
        <w:jc w:val="left"/>
        <w:ind w:left="1200" w:end="300"/>
        <w:pStyle w:val="ListParagraph"/>
        <w:numPr>
          <w:ilvl w:val="1"/>
          <w:numId w:val="3"/>
        </w:numPr>
      </w:pPr>
      <w:r>
        <w:rPr>
          <w:sz w:val="24"/>
          <w:szCs w:val="24"/>
          <w:rFonts w:ascii="Times New Roman" w:cs="Times New Roman" w:eastAsia="Times New Roman" w:hAnsi="Times New Roman"/>
        </w:rPr>
        <w:t xml:space="preserve">Evaluate secondary containment, inspecting the imperviousness and ability to hold the largest container’s contents plus the rainwater from a 25-year 24-hour storm.</w:t>
      </w:r>
    </w:p>
    <w:p>
      <w:pPr>
        <w:jc w:val="left"/>
        <w:ind w:left="1200" w:end="300"/>
        <w:pStyle w:val="ListParagraph"/>
        <w:numPr>
          <w:ilvl w:val="1"/>
          <w:numId w:val="3"/>
        </w:numPr>
      </w:pPr>
      <w:r>
        <w:rPr>
          <w:sz w:val="24"/>
          <w:szCs w:val="24"/>
          <w:rFonts w:ascii="Times New Roman" w:cs="Times New Roman" w:eastAsia="Times New Roman" w:hAnsi="Times New Roman"/>
        </w:rPr>
        <w:t xml:space="preserve">Evaluate the facility’s risk to navigable waters of the United States.</w:t>
      </w:r>
    </w:p>
    <w:p>
      <w:pPr>
        <w:jc w:val="left"/>
        <w:ind w:left="1200" w:end="300"/>
        <w:pStyle w:val="ListParagraph"/>
        <w:numPr>
          <w:ilvl w:val="1"/>
          <w:numId w:val="3"/>
        </w:numPr>
      </w:pPr>
      <w:r>
        <w:rPr>
          <w:sz w:val="24"/>
          <w:szCs w:val="24"/>
          <w:rFonts w:ascii="Times New Roman" w:cs="Times New Roman" w:eastAsia="Times New Roman" w:hAnsi="Times New Roman"/>
        </w:rPr>
        <w:t xml:space="preserve">Establish tank integrity test intervals in accordance with applicable industry standards (STI-SP001 or API653.)</w:t>
      </w:r>
    </w:p>
    <w:p>
      <w:pPr>
        <w:jc w:val="left"/>
        <w:ind w:left="1200" w:end="300"/>
        <w:pStyle w:val="ListParagraph"/>
        <w:numPr>
          <w:ilvl w:val="1"/>
          <w:numId w:val="3"/>
        </w:numPr>
      </w:pPr>
      <w:r>
        <w:rPr>
          <w:sz w:val="24"/>
          <w:szCs w:val="24"/>
          <w:rFonts w:ascii="Times New Roman" w:cs="Times New Roman" w:eastAsia="Times New Roman" w:hAnsi="Times New Roman"/>
        </w:rPr>
        <w:t xml:space="preserve">Evaluate current spill kits and determine if they are adequate to contain the most likely spill outside containment.</w:t>
      </w:r>
    </w:p>
    <w:p>
      <w:pPr>
        <w:jc w:val="left"/>
        <w:ind w:left="1200" w:end="300"/>
        <w:pStyle w:val="ListParagraph"/>
        <w:numPr>
          <w:ilvl w:val="1"/>
          <w:numId w:val="3"/>
        </w:numPr>
      </w:pPr>
      <w:r>
        <w:rPr>
          <w:sz w:val="24"/>
          <w:szCs w:val="24"/>
          <w:rFonts w:ascii="Times New Roman" w:cs="Times New Roman" w:eastAsia="Times New Roman" w:hAnsi="Times New Roman"/>
        </w:rPr>
        <w:t xml:space="preserve">Ensure overfill prevention measures are adequate and/or recommend tank upgrades.</w:t>
      </w:r>
    </w:p>
    <w:p>
      <w:pPr>
        <w:jc w:val="left"/>
        <w:ind w:left="1200" w:end="300"/>
        <w:pStyle w:val="ListParagraph"/>
        <w:numPr>
          <w:ilvl w:val="1"/>
          <w:numId w:val="3"/>
        </w:numPr>
      </w:pPr>
      <w:r>
        <w:rPr>
          <w:sz w:val="24"/>
          <w:szCs w:val="24"/>
          <w:rFonts w:ascii="Times New Roman" w:cs="Times New Roman" w:eastAsia="Times New Roman" w:hAnsi="Times New Roman"/>
        </w:rPr>
        <w:t xml:space="preserve">Draft a site map showing facility layout, spill control structures, and drainage patterns.</w:t>
      </w:r>
    </w:p>
    <w:p>
      <w:pPr>
        <w:jc w:val="left"/>
        <w:ind w:left="1200" w:end="300"/>
        <w:pStyle w:val="ListParagraph"/>
        <w:numPr>
          <w:ilvl w:val="1"/>
          <w:numId w:val="3"/>
        </w:numPr>
      </w:pPr>
      <w:r>
        <w:rPr>
          <w:sz w:val="24"/>
          <w:szCs w:val="24"/>
          <w:rFonts w:ascii="Times New Roman" w:cs="Times New Roman" w:eastAsia="Times New Roman" w:hAnsi="Times New Roman"/>
        </w:rPr>
        <w:t xml:space="preserve">We will write the SPCC Plan in accordance with most current state and federal oil pollution prevention regulations.</w:t>
      </w:r>
    </w:p>
    <w:p>
      <w:pPr>
        <w:jc w:val="left"/>
        <w:ind w:left="1200" w:end="300"/>
        <w:pStyle w:val="ListParagraph"/>
        <w:numPr>
          <w:ilvl w:val="1"/>
          <w:numId w:val="3"/>
        </w:numPr>
      </w:pPr>
      <w:r>
        <w:rPr>
          <w:sz w:val="24"/>
          <w:szCs w:val="24"/>
          <w:rFonts w:ascii="Times New Roman" w:cs="Times New Roman" w:eastAsia="Times New Roman" w:hAnsi="Times New Roman"/>
        </w:rPr>
        <w:t xml:space="preserve">The fieldwork will be supervised by Daniel Elliott and Pacific Engineering &amp; Consulting personnel.</w:t>
      </w:r>
    </w:p>
    <w:p>
      <w:pPr>
        <w:spacing w:before="400" w:after="200"/>
        <w:jc w:val="left"/>
        <w:pageBreakBefore/>
        <w:ind w:left="1200" w:end="300"/>
        <w:pStyle w:val="ListParagraph"/>
        <w:numPr>
          <w:ilvl w:val="0"/>
          <w:numId w:val="3"/>
        </w:numPr>
      </w:pPr>
      <w:r>
        <w:rPr>
          <w:b w:val="true"/>
          <w:bCs w:val="true"/>
          <w:sz w:val="24"/>
          <w:szCs w:val="24"/>
          <w:rFonts w:ascii="Times New Roman" w:cs="Times New Roman" w:eastAsia="Times New Roman" w:hAnsi="Times New Roman"/>
        </w:rPr>
        <w:t xml:space="preserve">Contractor Qualification</w:t>
      </w:r>
    </w:p>
    <w:p>
      <w:pPr>
        <w:spacing w:after="300"/>
        <w:jc w:val="left"/>
        <w:ind w:left="400" w:end="300"/>
      </w:pPr>
      <w:r>
        <w:rPr>
          <w:sz w:val="24"/>
          <w:szCs w:val="24"/>
          <w:rFonts w:ascii="Times New Roman" w:cs="Times New Roman" w:eastAsia="Times New Roman" w:hAnsi="Times New Roman"/>
        </w:rPr>
        <w:t xml:space="preserve">Jared Shuman – Pacific Engineering &amp; Consulting</w:t>
      </w:r>
    </w:p>
    <w:p>
      <w:pPr>
        <w:jc w:val="left"/>
        <w:ind w:left="400" w:end="300"/>
      </w:pPr>
      <w:r>
        <w:rPr>
          <w:b w:val="true"/>
          <w:bCs w:val="true"/>
          <w:sz w:val="24"/>
          <w:szCs w:val="24"/>
          <w:rFonts w:ascii="Times New Roman" w:cs="Times New Roman" w:eastAsia="Times New Roman" w:hAnsi="Times New Roman"/>
        </w:rPr>
        <w:t xml:space="preserve">Education:</w:t>
      </w:r>
    </w:p>
    <w:p>
      <w:pPr>
        <w:jc w:val="left"/>
        <w:ind w:left="400" w:end="300"/>
      </w:pPr>
      <w:r>
        <w:rPr>
          <w:sz w:val="24"/>
          <w:szCs w:val="24"/>
          <w:rFonts w:ascii="Times New Roman" w:cs="Times New Roman" w:eastAsia="Times New Roman" w:hAnsi="Times New Roman"/>
        </w:rPr>
        <w:t xml:space="preserve">MBA, California State University - Fresno - 2012</w:t>
      </w:r>
    </w:p>
    <w:p>
      <w:pPr>
        <w:spacing w:after="300"/>
        <w:jc w:val="left"/>
        <w:ind w:left="400" w:end="300"/>
      </w:pPr>
      <w:r>
        <w:rPr>
          <w:sz w:val="24"/>
          <w:szCs w:val="24"/>
          <w:rFonts w:ascii="Times New Roman" w:cs="Times New Roman" w:eastAsia="Times New Roman" w:hAnsi="Times New Roman"/>
        </w:rPr>
        <w:t xml:space="preserve">BS Mechanical Engineering, UCLA - 2008 </w:t>
      </w:r>
    </w:p>
    <w:p>
      <w:pPr>
        <w:jc w:val="left"/>
        <w:ind w:left="400" w:end="300"/>
      </w:pPr>
      <w:r>
        <w:rPr>
          <w:b w:val="true"/>
          <w:bCs w:val="true"/>
          <w:sz w:val="24"/>
          <w:szCs w:val="24"/>
          <w:rFonts w:ascii="Times New Roman" w:cs="Times New Roman" w:eastAsia="Times New Roman" w:hAnsi="Times New Roman"/>
        </w:rPr>
        <w:t xml:space="preserve">Expertise: </w:t>
      </w:r>
    </w:p>
    <w:p>
      <w:pPr>
        <w:jc w:val="left"/>
        <w:ind w:left="400" w:end="300"/>
      </w:pPr>
      <w:r>
        <w:rPr>
          <w:sz w:val="24"/>
          <w:szCs w:val="24"/>
          <w:rFonts w:ascii="Times New Roman" w:cs="Times New Roman" w:eastAsia="Times New Roman" w:hAnsi="Times New Roman"/>
        </w:rPr>
        <w:t xml:space="preserve">Certified Professional Engineer (PE) in the state of California – Certification #M36728</w:t>
      </w:r>
    </w:p>
    <w:p>
      <w:pPr>
        <w:jc w:val="left"/>
        <w:ind w:left="400" w:end="300"/>
      </w:pPr>
      <w:r>
        <w:rPr>
          <w:sz w:val="24"/>
          <w:szCs w:val="24"/>
          <w:rFonts w:ascii="Times New Roman" w:cs="Times New Roman" w:eastAsia="Times New Roman" w:hAnsi="Times New Roman"/>
        </w:rPr>
        <w:t xml:space="preserve">Tank Inspector with certifications that include: </w:t>
      </w:r>
    </w:p>
    <w:p>
      <w:pPr>
        <w:jc w:val="left"/>
        <w:ind w:left="1200" w:end="300"/>
      </w:pPr>
      <w:r>
        <w:rPr>
          <w:sz w:val="24"/>
          <w:szCs w:val="24"/>
          <w:rFonts w:ascii="Times New Roman" w:cs="Times New Roman" w:eastAsia="Times New Roman" w:hAnsi="Times New Roman"/>
        </w:rPr>
        <w:t xml:space="preserve">API-653 Aboveground Storage Tank Inspector – Certification #56100</w:t>
      </w:r>
    </w:p>
    <w:p>
      <w:pPr>
        <w:jc w:val="left"/>
        <w:ind w:left="1200" w:end="300"/>
      </w:pPr>
      <w:r>
        <w:rPr>
          <w:sz w:val="24"/>
          <w:szCs w:val="24"/>
          <w:rFonts w:ascii="Times New Roman" w:cs="Times New Roman" w:eastAsia="Times New Roman" w:hAnsi="Times New Roman"/>
        </w:rPr>
        <w:t xml:space="preserve">STI-001 Aboveground Storage Tank Inspector – Certification # 121286</w:t>
      </w:r>
    </w:p>
    <w:p>
      <w:pPr>
        <w:spacing w:after="300"/>
        <w:jc w:val="left"/>
        <w:ind w:left="400" w:end="300"/>
      </w:pPr>
      <w:r>
        <w:rPr>
          <w:sz w:val="24"/>
          <w:szCs w:val="24"/>
          <w:rFonts w:ascii="Times New Roman" w:cs="Times New Roman" w:eastAsia="Times New Roman" w:hAnsi="Times New Roman"/>
        </w:rPr>
        <w:t xml:space="preserve">Mr. Shuman is a mechanical engineer experienced in storage tank structural analysis and in various hazardous material management and spill prevention planning and review processes.</w:t>
      </w:r>
    </w:p>
    <w:p>
      <w:pPr>
        <w:jc w:val="left"/>
        <w:ind w:left="400" w:end="300"/>
      </w:pPr>
      <w:r>
        <w:rPr>
          <w:b w:val="true"/>
          <w:bCs w:val="true"/>
          <w:sz w:val="24"/>
          <w:szCs w:val="24"/>
          <w:rFonts w:ascii="Times New Roman" w:cs="Times New Roman" w:eastAsia="Times New Roman" w:hAnsi="Times New Roman"/>
        </w:rPr>
        <w:t xml:space="preserve">Experience:</w:t>
      </w:r>
    </w:p>
    <w:p>
      <w:pPr>
        <w:jc w:val="left"/>
        <w:ind w:left="400" w:end="300"/>
      </w:pPr>
      <w:r>
        <w:rPr>
          <w:sz w:val="24"/>
          <w:szCs w:val="24"/>
          <w:rFonts w:ascii="Times New Roman" w:cs="Times New Roman" w:eastAsia="Times New Roman" w:hAnsi="Times New Roman"/>
        </w:rPr>
        <w:t xml:space="preserve">Consulting Engineer – 2010 to present: Lead engineer for Pacific Management Services / Pacific Engineering &amp; Consulting specializing in environmental compliance inspections and planning. Has provided recommended updates to a range of environmental protection plans including Hazardous Materials Business Plans (HMBP), Storm Water Pollution Prevention Plans (SWPPP) and Spill Prevention Control and Countermeasure (SPCC) Plans. Evaluated petrochemical storage tanks in accordance with following applicable codes and standards:</w:t>
      </w:r>
    </w:p>
    <w:p>
      <w:pPr>
        <w:jc w:val="left"/>
        <w:ind w:left="900" w:end="300"/>
      </w:pPr>
      <w:r>
        <w:rPr>
          <w:sz w:val="24"/>
          <w:szCs w:val="24"/>
          <w:rFonts w:ascii="Times New Roman" w:cs="Times New Roman" w:eastAsia="Times New Roman" w:hAnsi="Times New Roman"/>
        </w:rPr>
        <w:t xml:space="preserve">CAL EPA (CUPA, SWRCB, ARB, CalOSHA), </w:t>
      </w:r>
    </w:p>
    <w:p>
      <w:pPr>
        <w:jc w:val="left"/>
        <w:ind w:left="900" w:end="300"/>
      </w:pPr>
      <w:r>
        <w:rPr>
          <w:sz w:val="24"/>
          <w:szCs w:val="24"/>
          <w:rFonts w:ascii="Times New Roman" w:cs="Times New Roman" w:eastAsia="Times New Roman" w:hAnsi="Times New Roman"/>
        </w:rPr>
        <w:t xml:space="preserve">American Petroleum Institute (API), </w:t>
      </w:r>
    </w:p>
    <w:p>
      <w:pPr>
        <w:jc w:val="left"/>
        <w:ind w:left="900" w:end="300"/>
      </w:pPr>
      <w:r>
        <w:rPr>
          <w:sz w:val="24"/>
          <w:szCs w:val="24"/>
          <w:rFonts w:ascii="Times New Roman" w:cs="Times New Roman" w:eastAsia="Times New Roman" w:hAnsi="Times New Roman"/>
        </w:rPr>
        <w:t xml:space="preserve">Steel Tank Institute (STI),</w:t>
      </w:r>
    </w:p>
    <w:p>
      <w:pPr>
        <w:jc w:val="left"/>
        <w:ind w:left="900" w:end="300"/>
      </w:pPr>
      <w:r>
        <w:rPr>
          <w:sz w:val="24"/>
          <w:szCs w:val="24"/>
          <w:rFonts w:ascii="Times New Roman" w:cs="Times New Roman" w:eastAsia="Times New Roman" w:hAnsi="Times New Roman"/>
        </w:rPr>
        <w:t xml:space="preserve">American Society for Mechanical Engineers (ASME), </w:t>
      </w:r>
    </w:p>
    <w:p>
      <w:pPr>
        <w:jc w:val="left"/>
        <w:ind w:left="900" w:end="300"/>
      </w:pPr>
      <w:r>
        <w:rPr>
          <w:sz w:val="24"/>
          <w:szCs w:val="24"/>
          <w:rFonts w:ascii="Times New Roman" w:cs="Times New Roman" w:eastAsia="Times New Roman" w:hAnsi="Times New Roman"/>
        </w:rPr>
        <w:t xml:space="preserve">Underwriters Laboratory UL-142</w:t>
      </w:r>
    </w:p>
    <w:p>
      <w:pPr>
        <w:jc w:val="left"/>
        <w:ind w:left="900" w:end="300"/>
      </w:pPr>
      <w:r>
        <w:rPr>
          <w:sz w:val="24"/>
          <w:szCs w:val="24"/>
          <w:rFonts w:ascii="Times New Roman" w:cs="Times New Roman" w:eastAsia="Times New Roman" w:hAnsi="Times New Roman"/>
        </w:rPr>
        <w:t xml:space="preserve">National Fire Prevention Association (NFPA) 30, </w:t>
      </w:r>
    </w:p>
    <w:p>
      <w:pPr>
        <w:jc w:val="left"/>
        <w:ind w:left="900" w:end="300"/>
      </w:pPr>
      <w:r>
        <w:rPr>
          <w:sz w:val="24"/>
          <w:szCs w:val="24"/>
          <w:rFonts w:ascii="Times New Roman" w:cs="Times New Roman" w:eastAsia="Times New Roman" w:hAnsi="Times New Roman"/>
        </w:rPr>
        <w:t xml:space="preserve">40 Code of Federal Regulation (CFR), and</w:t>
      </w:r>
    </w:p>
    <w:p>
      <w:pPr>
        <w:spacing w:after="300"/>
        <w:jc w:val="left"/>
        <w:ind w:left="900" w:end="300"/>
      </w:pPr>
      <w:r>
        <w:rPr>
          <w:sz w:val="24"/>
          <w:szCs w:val="24"/>
          <w:rFonts w:ascii="Times New Roman" w:cs="Times New Roman" w:eastAsia="Times New Roman" w:hAnsi="Times New Roman"/>
        </w:rPr>
        <w:t xml:space="preserve">State and Federal regulation.</w:t>
      </w:r>
    </w:p>
    <w:p>
      <w:pPr>
        <w:jc w:val="left"/>
        <w:ind w:left="400" w:end="300"/>
      </w:pPr>
      <w:r>
        <w:rPr>
          <w:b w:val="true"/>
          <w:bCs w:val="true"/>
          <w:sz w:val="24"/>
          <w:szCs w:val="24"/>
          <w:rFonts w:ascii="Times New Roman" w:cs="Times New Roman" w:eastAsia="Times New Roman" w:hAnsi="Times New Roman"/>
        </w:rPr>
        <w:t xml:space="preserve">Specific Related Projects:</w:t>
      </w:r>
    </w:p>
    <w:p>
      <w:pPr>
        <w:jc w:val="left"/>
        <w:ind w:left="1300" w:end="300"/>
        <w:pStyle w:val="ListParagraph"/>
        <w:numPr>
          <w:ilvl w:val="1"/>
          <w:numId w:val="3"/>
        </w:numPr>
      </w:pPr>
      <w:r>
        <w:rPr>
          <w:sz w:val="24"/>
          <w:szCs w:val="24"/>
          <w:rFonts w:ascii="Times New Roman" w:cs="Times New Roman" w:eastAsia="Times New Roman" w:hAnsi="Times New Roman"/>
        </w:rPr>
        <w:t xml:space="preserve">Inspector and Lead Engineer for Cleaning and Inspection of six ASTs at Air Force Plant 42. Conducted STI-SP001 inspections and certified calibration charts for all six tanks</w:t>
      </w:r>
    </w:p>
    <w:p>
      <w:pPr>
        <w:jc w:val="left"/>
        <w:ind w:left="1300" w:end="300"/>
        <w:pStyle w:val="ListParagraph"/>
        <w:numPr>
          <w:ilvl w:val="1"/>
          <w:numId w:val="3"/>
        </w:numPr>
      </w:pPr>
      <w:r>
        <w:rPr>
          <w:sz w:val="24"/>
          <w:szCs w:val="24"/>
          <w:rFonts w:ascii="Times New Roman" w:cs="Times New Roman" w:eastAsia="Times New Roman" w:hAnsi="Times New Roman"/>
        </w:rPr>
        <w:t xml:space="preserve">Lead inspector for STI-SP001 inspection digester tank for Las Gallinas Valley Sanitary District, which included an ultrasonic thickness test and engineering evaluation</w:t>
      </w:r>
    </w:p>
    <w:p>
      <w:pPr>
        <w:jc w:val="left"/>
        <w:ind w:left="1300" w:end="300"/>
        <w:pStyle w:val="ListParagraph"/>
        <w:numPr>
          <w:ilvl w:val="1"/>
          <w:numId w:val="3"/>
        </w:numPr>
      </w:pPr>
      <w:r>
        <w:rPr>
          <w:sz w:val="24"/>
          <w:szCs w:val="24"/>
          <w:rFonts w:ascii="Times New Roman" w:cs="Times New Roman" w:eastAsia="Times New Roman" w:hAnsi="Times New Roman"/>
        </w:rPr>
        <w:t xml:space="preserve">Inspector: Conducted Hazardous Waste Assessments of two used oil tanks for Cornerstone including ultrasonic thickness testing, pressure-decay test, seismic evaluation and a visual inspection of the tank appurtenances.</w:t>
      </w:r>
    </w:p>
    <w:p>
      <w:pPr>
        <w:spacing w:after="9000"/>
        <w:jc w:val="left"/>
        <w:ind w:left="1300" w:end="300"/>
        <w:pStyle w:val="ListParagraph"/>
        <w:numPr>
          <w:ilvl w:val="1"/>
          <w:numId w:val="3"/>
        </w:numPr>
      </w:pPr>
      <w:r>
        <w:rPr>
          <w:sz w:val="24"/>
          <w:szCs w:val="24"/>
          <w:rFonts w:ascii="Times New Roman" w:cs="Times New Roman" w:eastAsia="Times New Roman" w:hAnsi="Times New Roman"/>
        </w:rPr>
        <w:t xml:space="preserve">Inspected and evaluation of the Fresno Veterans Administration Hospital's petroleum storage tanks and developed procedures for spill response and emergency notification. </w:t>
      </w:r>
    </w:p>
    <w:p>
      <w:pPr>
        <w:sectPr>
          <w:pgSz w:w="11906" w:h="16838" w:orient="portrait"/>
          <w:pgMar w:top="1440" w:right="700" w:bottom="1440" w:left="700" w:header="708" w:footer="708" w:gutter="0" w:mirrorMargins="false"/>
          <w:cols w:space="708" w:num="1"/>
          <w:docGrid w:linePitch="360"/>
          <w:headerReference w:type="default" r:id="rId9"/>
          <w:footerReference w:type="default" r:id="rId10"/>
        </w:sectPr>
      </w:pPr>
    </w:p>
    <w:p>
      <w:pPr>
        <w:spacing w:before="300" w:after="200"/>
        <w:jc w:val="left"/>
        <w:ind w:left="1200" w:end="300"/>
        <w:pStyle w:val="ListParagraph"/>
        <w:numPr>
          <w:ilvl w:val="0"/>
          <w:numId w:val="3"/>
        </w:numPr>
      </w:pPr>
      <w:r>
        <w:rPr>
          <w:b w:val="true"/>
          <w:bCs w:val="true"/>
          <w:sz w:val="24"/>
          <w:szCs w:val="24"/>
          <w:rFonts w:ascii="Times New Roman" w:cs="Times New Roman" w:eastAsia="Times New Roman" w:hAnsi="Times New Roman"/>
        </w:rPr>
        <w:t xml:space="preserve">Project Cost/Limitations</w:t>
      </w:r>
    </w:p>
    <w:p>
      <w:pPr>
        <w:jc w:val="left"/>
        <w:ind w:left="400" w:end="300"/>
      </w:pPr>
      <w:r>
        <w:rPr>
          <w:sz w:val="24"/>
          <w:szCs w:val="24"/>
          <w:rFonts w:ascii="Times New Roman" w:cs="Times New Roman" w:eastAsia="Times New Roman" w:hAnsi="Times New Roman"/>
        </w:rPr>
        <w:t xml:space="preserve">The estimated cost to provide the above-mentioned engineering services is $59.00.</w:t>
      </w:r>
    </w:p>
    <w:p>
      <w:pPr>
        <w:spacing w:after="300"/>
        <w:jc w:val="left"/>
        <w:ind w:left="400" w:end="300"/>
      </w:pPr>
      <w:r>
        <w:rPr>
          <w:sz w:val="24"/>
          <w:szCs w:val="24"/>
          <w:rFonts w:ascii="Times New Roman" w:cs="Times New Roman" w:eastAsia="Times New Roman" w:hAnsi="Times New Roman"/>
        </w:rPr>
        <w:t xml:space="preserve">A breakdown of the estimated fees is provided below:</w:t>
      </w:r>
    </w:p>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90%"/>
        <w:tblpPr w:tblpX="500"/>
      </w:tblPr>
      <w:tblGrid>
        <w:gridCol w:w="100"/>
        <w:gridCol w:w="100"/>
        <w:gridCol w:w="100"/>
        <w:gridCol w:w="100"/>
      </w:tblGrid>
      <w:tr>
        <w:trPr>
          <w:trHeight w:val="300" w:hRule="exact"/>
        </w:trPr>
        <w:tc>
          <w:tcPr>
            <w:tcMar>
              <w:top w:w="0" w:type="dxa"/>
              <w:bottom w:w="0" w:type="dxa"/>
              <w:end w:w="100" w:type="dxa"/>
              <w:start w:w="100" w:type="dxa"/>
            </w:tcMar>
            <w:tcW w:w="2400" w:type="pct"/>
          </w:tcPr>
          <w:p>
            <w:r>
              <w:rPr>
                <w:b w:val="true"/>
                <w:bCs w:val="true"/>
                <w:sz w:val="24"/>
                <w:szCs w:val="24"/>
              </w:rPr>
              <w:t xml:space="preserve">Task</w:t>
            </w:r>
          </w:p>
        </w:tc>
        <w:tc>
          <w:tcPr>
            <w:tcMar>
              <w:top w:w="0" w:type="dxa"/>
              <w:bottom w:w="0" w:type="dxa"/>
              <w:end w:w="100" w:type="dxa"/>
              <w:start w:w="100" w:type="dxa"/>
            </w:tcMar>
          </w:tcPr>
          <w:p>
            <w:r>
              <w:rPr>
                <w:b w:val="true"/>
                <w:bCs w:val="true"/>
                <w:sz w:val="24"/>
                <w:szCs w:val="24"/>
              </w:rPr>
              <w:t xml:space="preserve">Quantity</w:t>
            </w:r>
          </w:p>
        </w:tc>
        <w:tc>
          <w:tcPr>
            <w:tcMar>
              <w:top w:w="0" w:type="dxa"/>
              <w:bottom w:w="0" w:type="dxa"/>
              <w:end w:w="100" w:type="dxa"/>
              <w:start w:w="100" w:type="dxa"/>
            </w:tcMar>
          </w:tcPr>
          <w:p>
            <w:r>
              <w:rPr>
                <w:b w:val="true"/>
                <w:bCs w:val="true"/>
                <w:sz w:val="24"/>
                <w:szCs w:val="24"/>
              </w:rPr>
              <w:t xml:space="preserve">Rate</w:t>
            </w:r>
          </w:p>
        </w:tc>
        <w:tc>
          <w:tcPr>
            <w:tcMar>
              <w:top w:w="0" w:type="dxa"/>
              <w:bottom w:w="0" w:type="dxa"/>
              <w:end w:w="100" w:type="dxa"/>
              <w:start w:w="100" w:type="dxa"/>
            </w:tcMar>
          </w:tcPr>
          <w:p>
            <w:r>
              <w:rPr>
                <w:b w:val="true"/>
                <w:bCs w:val="true"/>
                <w:sz w:val="24"/>
                <w:szCs w:val="24"/>
              </w:rPr>
              <w:t xml:space="preserve">Total</w:t>
            </w:r>
          </w:p>
        </w:tc>
      </w:tr>
      <w:tr>
        <w:tc>
          <w:tcPr>
            <w:tcMar>
              <w:top w:w="0" w:type="dxa"/>
              <w:bottom w:w="0" w:type="dxa"/>
              <w:end w:w="100" w:type="dxa"/>
              <w:start w:w="100" w:type="dxa"/>
            </w:tcMar>
          </w:tcPr>
          <w:p>
            <w:r>
              <w:rPr>
                <w:sz w:val="24"/>
                <w:szCs w:val="24"/>
              </w:rPr>
              <w:t xml:space="preserve">SPCC Plan</w:t>
            </w:r>
          </w:p>
        </w:tc>
        <w:tc>
          <w:tcPr>
            <w:tcMar>
              <w:top w:w="0" w:type="dxa"/>
              <w:bottom w:w="0" w:type="dxa"/>
              <w:end w:w="100" w:type="dxa"/>
              <w:start w:w="100" w:type="dxa"/>
            </w:tcMar>
          </w:tcPr>
          <w:p>
            <w:r>
              <w:rPr>
                <w:sz w:val="24"/>
                <w:szCs w:val="24"/>
              </w:rPr>
              <w:t xml:space="preserve">1</w:t>
            </w:r>
          </w:p>
        </w:tc>
        <w:tc>
          <w:tcPr>
            <w:tcMar>
              <w:top w:w="0" w:type="dxa"/>
              <w:bottom w:w="0" w:type="dxa"/>
              <w:end w:w="100" w:type="dxa"/>
              <w:start w:w="100" w:type="dxa"/>
            </w:tcMar>
          </w:tcPr>
          <w:p>
            <w:r>
              <w:rPr>
                <w:sz w:val="24"/>
                <w:szCs w:val="24"/>
              </w:rPr>
              <w:t xml:space="preserve">$3,495.00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Lodging</w:t>
            </w:r>
          </w:p>
        </w:tc>
        <w:tc>
          <w:tcPr>
            <w:tcMar>
              <w:top w:w="0" w:type="dxa"/>
              <w:bottom w:w="0" w:type="dxa"/>
              <w:end w:w="100" w:type="dxa"/>
              <w:start w:w="100" w:type="dxa"/>
            </w:tcMar>
          </w:tcPr>
          <w:p>
            <w:r>
              <w:rPr>
                <w:sz w:val="24"/>
                <w:szCs w:val="24"/>
              </w:rPr>
              <w:t xml:space="preserve">0</w:t>
            </w:r>
          </w:p>
        </w:tc>
        <w:tc>
          <w:tcPr>
            <w:tcMar>
              <w:top w:w="0" w:type="dxa"/>
              <w:bottom w:w="0" w:type="dxa"/>
              <w:end w:w="100" w:type="dxa"/>
              <w:start w:w="100" w:type="dxa"/>
            </w:tcMar>
          </w:tcPr>
          <w:p>
            <w:r>
              <w:rPr>
                <w:sz w:val="24"/>
                <w:szCs w:val="24"/>
              </w:rPr>
              <w:t xml:space="preserve">$150.00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Travel</w:t>
            </w:r>
          </w:p>
        </w:tc>
        <w:tc>
          <w:tcPr>
            <w:tcMar>
              <w:top w:w="0" w:type="dxa"/>
              <w:bottom w:w="0" w:type="dxa"/>
              <w:end w:w="100" w:type="dxa"/>
              <w:start w:w="100" w:type="dxa"/>
            </w:tcMar>
          </w:tcPr>
          <w:p>
            <w:r>
              <w:rPr>
                <w:sz w:val="24"/>
                <w:szCs w:val="24"/>
              </w:rPr>
              <w:t xml:space="preserve">0 hours</w:t>
            </w:r>
          </w:p>
        </w:tc>
        <w:tc>
          <w:tcPr>
            <w:tcMar>
              <w:top w:w="0" w:type="dxa"/>
              <w:bottom w:w="0" w:type="dxa"/>
              <w:end w:w="100" w:type="dxa"/>
              <w:start w:w="100" w:type="dxa"/>
            </w:tcMar>
          </w:tcPr>
          <w:p>
            <w:r>
              <w:rPr>
                <w:sz w:val="24"/>
                <w:szCs w:val="24"/>
              </w:rPr>
              <w:t xml:space="preserve">$40.00</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tcPr>
          <w:p>
            <w:r>
              <w:rPr>
                <w:sz w:val="24"/>
                <w:szCs w:val="24"/>
              </w:rPr>
              <w:t xml:space="preserve">Per Diem</w:t>
            </w:r>
          </w:p>
        </w:tc>
        <w:tc>
          <w:tcPr>
            <w:tcMar>
              <w:top w:w="0" w:type="dxa"/>
              <w:bottom w:w="0" w:type="dxa"/>
              <w:end w:w="100" w:type="dxa"/>
              <w:start w:w="100" w:type="dxa"/>
            </w:tcMar>
          </w:tcPr>
          <w:p>
            <w:r>
              <w:rPr>
                <w:sz w:val="24"/>
                <w:szCs w:val="24"/>
              </w:rPr>
              <w:t xml:space="preserve">1 day</w:t>
            </w:r>
          </w:p>
        </w:tc>
        <w:tc>
          <w:tcPr>
            <w:tcMar>
              <w:top w:w="0" w:type="dxa"/>
              <w:bottom w:w="0" w:type="dxa"/>
              <w:end w:w="100" w:type="dxa"/>
              <w:start w:w="100" w:type="dxa"/>
            </w:tcMar>
          </w:tcPr>
          <w:p>
            <w:r>
              <w:rPr>
                <w:sz w:val="24"/>
                <w:szCs w:val="24"/>
              </w:rPr>
              <w:t xml:space="preserve">$55.00</w:t>
            </w:r>
          </w:p>
        </w:tc>
        <w:tc>
          <w:tcPr>
            <w:tcMar>
              <w:top w:w="0" w:type="dxa"/>
              <w:bottom w:w="0" w:type="dxa"/>
              <w:end w:w="100" w:type="dxa"/>
              <w:start w:w="100" w:type="dxa"/>
            </w:tcMar>
          </w:tcPr>
          <w:p>
            <w:r>
              <w:rPr>
                <w:sz w:val="24"/>
                <w:szCs w:val="24"/>
              </w:rPr>
              <w:t xml:space="preserve">$55.00</w:t>
            </w:r>
          </w:p>
        </w:tc>
      </w:tr>
      <w:tr>
        <w:tc>
          <w:tcPr>
            <w:tcMar>
              <w:top w:w="0" w:type="dxa"/>
              <w:bottom w:w="0" w:type="dxa"/>
              <w:end w:w="100" w:type="dxa"/>
              <w:start w:w="100" w:type="dxa"/>
            </w:tcMar>
          </w:tcPr>
          <w:p>
            <w:r>
              <w:rPr>
                <w:sz w:val="24"/>
                <w:szCs w:val="24"/>
              </w:rPr>
              <w:t xml:space="preserve">Mileage</w:t>
            </w:r>
          </w:p>
        </w:tc>
        <w:tc>
          <w:tcPr>
            <w:tcMar>
              <w:top w:w="0" w:type="dxa"/>
              <w:bottom w:w="0" w:type="dxa"/>
              <w:end w:w="100" w:type="dxa"/>
              <w:start w:w="100" w:type="dxa"/>
            </w:tcMar>
          </w:tcPr>
          <w:p>
            <w:r>
              <w:rPr>
                <w:sz w:val="24"/>
                <w:szCs w:val="24"/>
              </w:rPr>
              <w:t xml:space="preserve">0 miles</w:t>
            </w:r>
          </w:p>
        </w:tc>
        <w:tc>
          <w:tcPr>
            <w:tcMar>
              <w:top w:w="0" w:type="dxa"/>
              <w:bottom w:w="0" w:type="dxa"/>
              <w:end w:w="100" w:type="dxa"/>
              <w:start w:w="100" w:type="dxa"/>
            </w:tcMar>
          </w:tcPr>
          <w:p>
            <w:r>
              <w:rPr>
                <w:sz w:val="24"/>
                <w:szCs w:val="24"/>
              </w:rPr>
              <w:t xml:space="preserve">$0.55</w:t>
            </w:r>
          </w:p>
        </w:tc>
        <w:tc>
          <w:tcPr>
            <w:tcMar>
              <w:top w:w="0" w:type="dxa"/>
              <w:bottom w:w="0" w:type="dxa"/>
              <w:end w:w="100" w:type="dxa"/>
              <w:start w:w="100" w:type="dxa"/>
            </w:tcMar>
          </w:tcPr>
          <w:p>
            <w:r>
              <w:rPr>
                <w:sz w:val="24"/>
                <w:szCs w:val="24"/>
              </w:rPr>
              <w:t xml:space="preserve">$0.00</w:t>
            </w:r>
          </w:p>
        </w:tc>
      </w:tr>
      <w:tr>
        <w:tc>
          <w:tcPr>
            <w:tcMar>
              <w:top w:w="0" w:type="dxa"/>
              <w:bottom w:w="0" w:type="dxa"/>
              <w:end w:w="100" w:type="dxa"/>
              <w:start w:w="100" w:type="dxa"/>
            </w:tcMar>
            <w:gridSpan w:val="3"/>
          </w:tcPr>
          <w:p>
            <w:pPr>
              <w:jc w:val="right"/>
            </w:pPr>
            <w:r>
              <w:rPr>
                <w:sz w:val="24"/>
                <w:szCs w:val="24"/>
              </w:rPr>
              <w:t xml:space="preserve">Total Estimated Cost</w:t>
            </w:r>
          </w:p>
        </w:tc>
        <w:tc>
          <w:tcPr>
            <w:tcMar>
              <w:top w:w="0" w:type="dxa"/>
              <w:bottom w:w="0" w:type="dxa"/>
              <w:end w:w="100" w:type="dxa"/>
              <w:start w:w="100" w:type="dxa"/>
            </w:tcMar>
          </w:tcPr>
          <w:p>
            <w:r>
              <w:rPr>
                <w:sz w:val="24"/>
                <w:szCs w:val="24"/>
              </w:rPr>
              <w:t xml:space="preserve">$59.00</w:t>
            </w:r>
          </w:p>
        </w:tc>
      </w:tr>
    </w:tbl>
    <w:p>
      <w:pPr>
        <w:spacing w:before="100" w:after="300"/>
        <w:jc w:val="left"/>
        <w:ind w:left="400" w:end="300"/>
      </w:pPr>
      <w:r>
        <w:rPr>
          <w:sz w:val="24"/>
          <w:szCs w:val="24"/>
          <w:rFonts w:ascii="Times New Roman" w:cs="Times New Roman" w:eastAsia="Times New Roman" w:hAnsi="Times New Roman"/>
        </w:rPr>
        <w:t xml:space="preserve">If there are any questions or concerns regarding the proposed services and associated fees, please do not hesitate to contact Pacific Engineering &amp; Consulting at your earliest convenience. Pacific Engineering &amp; Consulting strives to satisfy our client’s needs and meet their expectations. We will make every effort to accommodate requested changes in our understanding of the project, assumptions, scope, or services, as appropriate. </w:t>
      </w:r>
    </w:p>
    <w:p>
      <w:pPr>
        <w:spacing w:after="300"/>
        <w:jc w:val="left"/>
        <w:ind w:left="400" w:end="300"/>
      </w:pPr>
      <w:r>
        <w:rPr>
          <w:sz w:val="24"/>
          <w:szCs w:val="24"/>
          <w:rFonts w:ascii="Times New Roman" w:cs="Times New Roman" w:eastAsia="Times New Roman" w:hAnsi="Times New Roman"/>
        </w:rPr>
        <w:t xml:space="preserve">Proposed costs are good for 60 days from the date of issue noted above.</w:t>
      </w:r>
    </w:p>
    <w:p>
      <w:pPr>
        <w:jc w:val="left"/>
        <w:ind w:left="400" w:end="300"/>
      </w:pPr>
      <w:r>
        <w:rPr>
          <w:sz w:val="24"/>
          <w:szCs w:val="24"/>
          <w:rFonts w:ascii="Times New Roman" w:cs="Times New Roman" w:eastAsia="Times New Roman" w:hAnsi="Times New Roman"/>
        </w:rPr>
        <w:t xml:space="preserve">Extra work, if required, will be completed on a separately negotiated lump sum basis or on a "time and materials" basis according to Pacific Engineering &amp; Consulting’s fee schedule. No extra work will be performed without written authorization from the client.</w:t>
      </w:r>
    </w:p>
    <w:p>
      <w:pPr>
        <w:sectPr>
          <w:pgSz w:w="11906" w:h="16838" w:orient="portrait"/>
          <w:pgMar w:top="1440" w:right="700" w:bottom="1440" w:left="700" w:header="708" w:footer="708" w:gutter="0" w:mirrorMargins="false"/>
          <w:cols w:space="708" w:num="1"/>
          <w:docGrid w:linePitch="360"/>
          <w:headerReference w:type="default" r:id="rId11"/>
          <w:footerReference w:type="default" r:id="rId12"/>
        </w:sectPr>
      </w:pPr>
    </w:p>
    <w:p>
      <w:pPr>
        <w:spacing w:before="300" w:after="200"/>
        <w:ind w:left="1200" w:end="300"/>
        <w:pStyle w:val="ListParagraph"/>
        <w:numPr>
          <w:ilvl w:val="0"/>
          <w:numId w:val="3"/>
        </w:numPr>
      </w:pPr>
      <w:r>
        <w:rPr>
          <w:b w:val="true"/>
          <w:bCs w:val="true"/>
          <w:sz w:val="24"/>
          <w:szCs w:val="24"/>
          <w:rFonts w:ascii="Times New Roman" w:cs="Times New Roman" w:eastAsia="Times New Roman" w:hAnsi="Times New Roman"/>
        </w:rPr>
        <w:t xml:space="preserve">Conclusion </w:t>
      </w:r>
    </w:p>
    <w:p>
      <w:pPr>
        <w:spacing w:after="200"/>
        <w:ind w:left="400" w:end="300"/>
      </w:pPr>
      <w:r>
        <w:rPr>
          <w:sz w:val="24"/>
          <w:szCs w:val="24"/>
          <w:rFonts w:ascii="Times New Roman" w:cs="Times New Roman" w:eastAsia="Times New Roman" w:hAnsi="Times New Roman"/>
        </w:rPr>
        <w:t xml:space="preserve">Pacific Engineering &amp; Consulting will administer this project in accordance with all applicable Ed Staub &amp; Sons Petroleum, Inc. requirements, industry standards, and engineering best practices. Our staff of Professional Engineers and certified personnel are excited at the opportunity to assist Ed Staub &amp; Sons Petroleum, Inc. environmental compliance needs.</w:t>
      </w:r>
    </w:p>
    <w:p>
      <w:pPr>
        <w:spacing w:after="600"/>
        <w:ind w:left="400" w:end="300"/>
      </w:pPr>
      <w:r>
        <w:rPr>
          <w:sz w:val="24"/>
          <w:szCs w:val="24"/>
          <w:rFonts w:ascii="Times New Roman" w:cs="Times New Roman" w:eastAsia="Times New Roman" w:hAnsi="Times New Roman"/>
        </w:rPr>
        <w:t xml:space="preserve">Best Regards</w:t>
      </w:r>
    </w:p>
    <w:p>
      <w:pPr>
        <w:ind w:left="400" w:end="300"/>
      </w:pPr>
      <w:r>
        <w:rPr>
          <w:sz w:val="24"/>
          <w:szCs w:val="24"/>
          <w:rFonts w:ascii="Times New Roman" w:cs="Times New Roman" w:eastAsia="Times New Roman" w:hAnsi="Times New Roman"/>
        </w:rPr>
        <w:t xml:space="preserve">Daniel Elliott</w:t>
      </w:r>
    </w:p>
    <w:p>
      <w:pPr>
        <w:ind w:left="400" w:end="300"/>
      </w:pPr>
      <w:r>
        <w:rPr>
          <w:sz w:val="24"/>
          <w:szCs w:val="24"/>
          <w:rFonts w:ascii="Times New Roman" w:cs="Times New Roman" w:eastAsia="Times New Roman" w:hAnsi="Times New Roman"/>
        </w:rPr>
        <w:t xml:space="preserve">STI Inspector, #AC44220</w:t>
      </w:r>
    </w:p>
    <w:p>
      <w:pPr>
        <w:ind w:left="400" w:end="300"/>
      </w:pPr>
      <w:r>
        <w:rPr>
          <w:sz w:val="24"/>
          <w:szCs w:val="24"/>
          <w:rFonts w:ascii="Times New Roman" w:cs="Times New Roman" w:eastAsia="Times New Roman" w:hAnsi="Times New Roman"/>
        </w:rPr>
        <w:t xml:space="preserve">API 653 Inspector, #70788</w:t>
      </w:r>
    </w:p>
    <w:p>
      <w:pPr>
        <w:ind w:left="400" w:end="300"/>
      </w:pPr>
      <w:r>
        <w:rPr>
          <w:sz w:val="24"/>
          <w:szCs w:val="24"/>
          <w:rFonts w:ascii="Times New Roman" w:cs="Times New Roman" w:eastAsia="Times New Roman" w:hAnsi="Times New Roman"/>
        </w:rPr>
        <w:t xml:space="preserve">API 570 Inspector, #82919</w:t>
      </w:r>
    </w:p>
    <w:p>
      <w:pPr>
        <w:ind w:left="400" w:end="300"/>
      </w:pPr>
      <w:r>
        <w:rPr>
          <w:sz w:val="24"/>
          <w:szCs w:val="24"/>
          <w:rFonts w:ascii="Times New Roman" w:cs="Times New Roman" w:eastAsia="Times New Roman" w:hAnsi="Times New Roman"/>
        </w:rPr>
        <w:t xml:space="preserve">QISP #00969</w:t>
      </w:r>
    </w:p>
    <w:p>
      <w:pPr>
        <w:spacing w:after="2000"/>
        <w:ind w:left="400" w:end="300"/>
      </w:pPr>
      <w:r>
        <w:rPr>
          <w:sz w:val="24"/>
          <w:szCs w:val="24"/>
          <w:rFonts w:ascii="Times New Roman" w:cs="Times New Roman" w:eastAsia="Times New Roman" w:hAnsi="Times New Roman"/>
        </w:rPr>
        <w:t xml:space="preserve">NDT Level II</w:t>
      </w:r>
    </w:p>
    <w:p>
      <w:pPr>
        <w:spacing w:before="400" w:after="300"/>
        <w:ind w:left="400" w:end="300"/>
      </w:pPr>
      <w:r>
        <w:rPr>
          <w:sz w:val="24"/>
          <w:szCs w:val="24"/>
          <w:rFonts w:ascii="Times New Roman" w:cs="Times New Roman" w:eastAsia="Times New Roman" w:hAnsi="Times New Roman"/>
        </w:rPr>
        <w:t xml:space="preserve">Please Sign and Return to Pacific Engineering &amp; Consulting.</w:t>
      </w:r>
    </w:p>
    <w:p>
      <w:pPr>
        <w:ind w:left="400" w:end="300"/>
      </w:pPr>
      <w:r>
        <w:rPr>
          <w:sz w:val="24"/>
          <w:szCs w:val="24"/>
          <w:rFonts w:ascii="Times New Roman" w:cs="Times New Roman" w:eastAsia="Times New Roman" w:hAnsi="Times New Roman"/>
        </w:rPr>
        <w:t xml:space="preserve">Accepted by:</w:t>
      </w:r>
    </w:p>
    <w:p>
      <w:pPr>
        <w:spacing w:after="450"/>
        <w:ind w:left="400" w:end="300"/>
      </w:pPr>
      <w:r>
        <w:rPr>
          <w:sz w:val="24"/>
          <w:szCs w:val="24"/>
          <w:rFonts w:ascii="Times New Roman" w:cs="Times New Roman" w:eastAsia="Times New Roman" w:hAnsi="Times New Roman"/>
        </w:rPr>
        <w:t xml:space="preserve">Ed Staub &amp; Sons Petroleum, Inc. / Authorized Representative</w:t>
      </w:r>
    </w:p>
    <w:p>
      <w:pPr>
        <w:ind w:left="400" w:end="300"/>
      </w:pPr>
      <w:r>
        <w:rPr>
          <w:sz w:val="24"/>
          <w:szCs w:val="24"/>
          <w:rFonts w:ascii="Times New Roman" w:cs="Times New Roman" w:eastAsia="Times New Roman" w:hAnsi="Times New Roman"/>
        </w:rPr>
        <w:t xml:space="preserve">____________________________________</w:t>
      </w:r>
    </w:p>
    <w:p>
      <w:pPr>
        <w:spacing w:after="450"/>
        <w:ind w:left="400" w:end="300"/>
      </w:pPr>
      <w:r>
        <w:rPr>
          <w:sz w:val="24"/>
          <w:szCs w:val="24"/>
          <w:rFonts w:ascii="Times New Roman" w:cs="Times New Roman" w:eastAsia="Times New Roman" w:hAnsi="Times New Roman"/>
        </w:rPr>
        <w:t xml:space="preserve">Signature</w:t>
      </w:r>
    </w:p>
    <w:p>
      <w:pPr>
        <w:ind w:left="400" w:end="300"/>
      </w:pPr>
      <w:r>
        <w:rPr>
          <w:sz w:val="24"/>
          <w:szCs w:val="24"/>
          <w:rFonts w:ascii="Times New Roman" w:cs="Times New Roman" w:eastAsia="Times New Roman" w:hAnsi="Times New Roman"/>
        </w:rPr>
        <w:t xml:space="preserve">____________________________________</w:t>
      </w:r>
    </w:p>
    <w:p>
      <w:pPr>
        <w:ind w:left="400" w:end="300"/>
      </w:pPr>
      <w:r>
        <w:rPr>
          <w:sz w:val="24"/>
          <w:szCs w:val="24"/>
          <w:rFonts w:ascii="Times New Roman" w:cs="Times New Roman" w:eastAsia="Times New Roman" w:hAnsi="Times New Roman"/>
        </w:rPr>
        <w:t xml:space="preserve">Title 					 Date</w:t>
      </w:r>
    </w:p>
    <w:sectPr>
      <w:pgSz w:w="11906" w:h="16838" w:orient="portrait"/>
      <w:pgMar w:top="1440" w:right="700" w:bottom="1440" w:left="700" w:header="708" w:footer="708" w:gutter="0" w:mirrorMargins="false"/>
      <w:cols w:space="708" w:num="1"/>
      <w:docGrid w:linePitch="360"/>
      <w:headerReference w:type="default" r:id="rId13"/>
      <w:footerReference w:type="default" r:id="rId14"/>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pPr>
    <w:r>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pct" w:w="100%"/>
    </w:tblPr>
    <w:tblGrid>
      <w:gridCol w:w="100"/>
      <w:gridCol w:w="100"/>
    </w:tblGrid>
    <w:tr>
      <w:tc>
        <w:tcPr>
          <w:tcBorders>
            <w:top w:color="white"/>
            <w:bottom w:val="thick" w:sz="20" w:color="#2f793b"/>
            <w:left w:color="white"/>
            <w:right w:color="white"/>
          </w:tcBorders>
          <w:tcW w:w="6000" w:type="dxa"/>
        </w:tcPr>
        <w:p>
          <w:r>
            <w:drawing>
              <wp:inline distT="0" distB="0" distL="0" distR="0">
                <wp:extent cx="3143250" cy="571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3143250" cy="571500"/>
                          <a:off x="0" y="0"/>
                        </a:xfrm>
                        <a:prstGeom prst="rect">
                          <a:avLst/>
                        </a:prstGeom>
                      </pic:spPr>
                    </pic:pic>
                  </a:graphicData>
                </a:graphic>
              </wp:inline>
            </w:drawing>
          </w:r>
        </w:p>
      </w:tc>
      <w:tc>
        <w:tcPr>
          <w:tcBorders>
            <w:top w:color="white"/>
            <w:bottom w:val="thick" w:sz="20" w:color="#2f793b"/>
            <w:left w:color="white"/>
            <w:right w:color="white"/>
          </w:tcBorders>
          <w:vAlign w:val="bottom"/>
          <w:tcMar>
            <w:top w:w="0" w:type="dxa"/>
            <w:bottom w:w="0" w:type="dxa"/>
            <w:end w:w="0" w:type="dxa"/>
            <w:start w:w="600" w:type="dxa"/>
          </w:tcMar>
        </w:tcPr>
        <w:p>
          <w:r>
            <w:rPr>
              <w:color w:val="#338ec4"/>
              <w:sz w:val="22"/>
              <w:szCs w:val="22"/>
            </w:rPr>
            <w:t xml:space="preserve">Environmental Engineering and Consulting</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decimal"/>
      <w:lvlText w:val="%1."/>
      <w:pPr>
        <w:ind w:left="400" w:hanging="400"/>
      </w:pPr>
      <w:rPr>
        <w:b w:val="true"/>
        <w:bCs w:val="true"/>
        <w:sz w:val="24"/>
        <w:szCs w:val="24"/>
      </w:rPr>
    </w:lvl>
    <w:lvl w:ilvl="1" w15:tentative="1">
      <w:start w:val="1"/>
      <w:lvlJc w:val="start"/>
      <w:numFmt w:val="decimal"/>
      <w:lvlText w:val="%2."/>
      <w:pPr>
        <w:ind w:left="1500" w:hanging="4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vt6x367kak67fuywe3zm9.png"/><Relationship Id="rId16" Type="http://schemas.openxmlformats.org/officeDocument/2006/relationships/image" Target="media/976edcvxy6btgc0kxla7vn.png"/></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footer4.xml.rels><Relationships xmlns="http://schemas.openxmlformats.org/package/2006/relationships"/>
</file>

<file path=word/_rels/footer5.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Relationship Id="rId0" Type="http://schemas.openxmlformats.org/officeDocument/2006/relationships/image" Target="media/q0z4bgjqy8lwyaf054bn9.png"/></Relationships>
</file>

<file path=word/_rels/header3.xml.rels><Relationships xmlns="http://schemas.openxmlformats.org/package/2006/relationships"><Relationship Id="rId0" Type="http://schemas.openxmlformats.org/officeDocument/2006/relationships/image" Target="media/q0z4bgjqy8lwyaf054bn9.png"/></Relationships>
</file>

<file path=word/_rels/header4.xml.rels><Relationships xmlns="http://schemas.openxmlformats.org/package/2006/relationships"><Relationship Id="rId0" Type="http://schemas.openxmlformats.org/officeDocument/2006/relationships/image" Target="media/q0z4bgjqy8lwyaf054bn9.png"/></Relationships>
</file>

<file path=word/_rels/header5.xml.rels><Relationships xmlns="http://schemas.openxmlformats.org/package/2006/relationships"><Relationship Id="rId0" Type="http://schemas.openxmlformats.org/officeDocument/2006/relationships/image" Target="media/q0z4bgjqy8lwyaf054bn9.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2020-12-24T11:06:12Z</dcterms:created>
  <dcterms:modified xsi:type="dcterms:W3CDTF">2020-12-24T11:06:12Z</dcterms:modified>
</cp:coreProperties>
</file>