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AthleteGuard: Executive Summary &amp; Insights Report (Detailed)</w:t>
      </w:r>
    </w:p>
    <w:p>
      <w:pPr>
        <w:pStyle w:val="Heading1"/>
      </w:pPr>
      <w:r>
        <w:t>1. Executive Overview &amp; Business Problem</w:t>
      </w:r>
    </w:p>
    <w:p>
      <w:r>
        <w:t>In the high-stakes environment of the Indian Premier League (IPL), player availability is directly correlated with franchise success and financial return on investment. The grueling two-month tournament compresses 14-16 high-intensity T20 matches, extensive travel schedules, and demanding net sessions into a very short window. Soft-tissue injuries (hamstrings, side strains, calf tears) represent the highest cause of match unavailability for elite athletes, particularly fast bowlers.</w:t>
      </w:r>
    </w:p>
    <w:p>
      <w:r>
        <w:t>Historically, medical and coaching staffs have relied on subjective feedback and reactive treatment. The AthleteGuard Command Center was commissioned to shift this paradigm from reactive treatment to proactive risk management. By leveraging historical workload data, the Acute-to-Chronic Workload Ratio (ACWR), and predictive modeling, this analytical solution provides the Head Coach and Physiotherapy team with daily, actionable intelligence to predict and prevent injuries before clinical symptoms appear.</w:t>
      </w:r>
    </w:p>
    <w:p>
      <w:pPr>
        <w:pStyle w:val="Heading1"/>
      </w:pPr>
      <w:r>
        <w:t>2. Deep-Dive Analytical Findings (2023 Season Analysis)</w:t>
      </w:r>
    </w:p>
    <w:p>
      <w:r>
        <w:t>Extensive data modeling of the IPL historical database yielded the following critical insights regarding player fatigue and injury triggers:</w:t>
      </w:r>
    </w:p>
    <w:p>
      <w:pPr>
        <w:pStyle w:val="Heading2"/>
      </w:pPr>
      <w:r>
        <w:t>2.1 The ACWR Danger Threshold</w:t>
      </w:r>
    </w:p>
    <w:p>
      <w:r>
        <w:t>Analysis confirms that an Acute-to-Chronic Workload Ratio (ACWR) of 1.5 or greater is the critical tipping point for soft-tissue injuries. Players operating in this 'Danger Zone'—where their 7-day immediate workload is 50% higher than their 28-day baseline fitness—experience a 4x higher probability of injury. Furthermore, sustaining an ACWR above 1.5 for more than three consecutive days pushes the predicted injury probability above 78%.</w:t>
      </w:r>
    </w:p>
    <w:p>
      <w:pPr>
        <w:pStyle w:val="Heading2"/>
      </w:pPr>
      <w:r>
        <w:t>2.2 Peak Fatigue Windows in the Tournament Lifecycle</w:t>
      </w:r>
    </w:p>
    <w:p>
      <w:r>
        <w:t>The data reveals a distinct 'Fatigue Curve' over the course of the IPL season. The highest concentration of Danger Zone alerts occurs between Match 7 and Match 10. During this mid-tournament phase, the adrenaline of the early matches fades, travel fatigue accumulates, and the 28-day chronic fitness base begins to degrade if recovery is not optimized. This is the period where strategic rotation yields the highest ROI.</w:t>
      </w:r>
    </w:p>
    <w:p>
      <w:pPr>
        <w:pStyle w:val="Heading2"/>
      </w:pPr>
      <w:r>
        <w:t>2.3 Venue-Specific Physical Exertion Index</w:t>
      </w:r>
    </w:p>
    <w:p>
      <w:r>
        <w:t>Not all away matches exert the same physical toll. By analyzing deliveries bowled and runs scored across different stadiums, the 'Venue Pressure Index' highlights significant disparities. Fast outfields and large boundaries at specific venues require up to 18% more physical exertion (sprints, boundary saves, high-intensity bowling) compared to smaller, spin-friendly pitches. Playing back-to-back matches at high-exertion venues accelerates acute load spikes.</w:t>
      </w:r>
    </w:p>
    <w:p>
      <w:pPr>
        <w:pStyle w:val="Heading1"/>
      </w:pPr>
      <w:r>
        <w:t>3. Strategic Business Recommendations</w:t>
      </w:r>
    </w:p>
    <w:p>
      <w:r>
        <w:t>Based on the data, the franchise should implement the following strategic adjustments:</w:t>
      </w:r>
    </w:p>
    <w:p>
      <w:pPr>
        <w:pStyle w:val="ListBullet"/>
      </w:pPr>
      <w:r>
        <w:t>- Mandatory Triage Integration: Incorporate the AthleteGuard Command Center into the daily 08:00 AM medical briefing. Any player explicitly flagged for "REST / OMIT" in the Triage Matrix must be excluded from high-intensity fielding or bowling drills that day.</w:t>
      </w:r>
    </w:p>
    <w:p>
      <w:pPr>
        <w:pStyle w:val="ListBullet"/>
      </w:pPr>
      <w:r>
        <w:t>- Pre-emptive Fast Bowler Rotation: Utilize the "Cumulative Strain by Venue" metric to map out fast bowler rotations. If an elite fast bowler reaches an ACWR of 1.35 (Warning Zone) prior to a high-exertion away game, proactively rest them to ensure availability for the playoffs.</w:t>
      </w:r>
    </w:p>
    <w:p>
      <w:pPr>
        <w:pStyle w:val="ListBullet"/>
      </w:pPr>
      <w:r>
        <w:t>- Tailored Conditioning for the "Top-Left" Quadrant: Players identified in the top-left of the Danger Matrix (Low Chronic Base, High Acute Spike) should not simply be rested; they require specialized, low-impact conditioning to safely build their 28-day fitness base up to tournament standards.</w:t>
      </w:r>
    </w:p>
    <w:p>
      <w:pPr>
        <w:pStyle w:val="Heading1"/>
      </w:pPr>
      <w:r>
        <w:t>4. Financial Impact &amp; ROI Justification</w:t>
      </w:r>
    </w:p>
    <w:p>
      <w:r>
        <w:t>The financial implications of the AthleteGuard system are substantial. An elite player secured at an auction price of ₹10-15 Crores costs the franchise approximately ₹70-100 Lakhs per match. Preventing even a single Grade-1 hamstring tear (which typically costs a player 3-4 matches) directly preserves up to ₹4 Crores of on-field value, alongside protecting playoff probabilities and associated broadcast/sponsorship revenues. The dashboard essentially acts as an insurance policy for the franchise's most valuable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