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AthleteGuard: Technical Documentation &amp; Data Dictionary (Detailed)</w:t>
      </w:r>
    </w:p>
    <w:p>
      <w:pPr>
        <w:pStyle w:val="Heading1"/>
      </w:pPr>
      <w:r>
        <w:t>1. System Architecture &amp; ETL Pipeline</w:t>
      </w:r>
    </w:p>
    <w:p>
      <w:r>
        <w:t>The AthleteGuard infrastructure is built on a robust Microsoft Data Stack. The core architecture ensures high performance, scalable processing, and secure data access.</w:t>
      </w:r>
    </w:p>
    <w:p>
      <w:pPr>
        <w:pStyle w:val="ListBullet"/>
      </w:pPr>
      <w:r>
        <w:t>- Data Source: Historical IPL ball-by-ball and match metadata sets, simulating daily live feeds.</w:t>
      </w:r>
    </w:p>
    <w:p>
      <w:pPr>
        <w:pStyle w:val="ListBullet"/>
      </w:pPr>
      <w:r>
        <w:t>- Database Engine: Microsoft SQL Server (LocalDB / SSMS). The database is named [AthleteGuard_IPL].</w:t>
      </w:r>
    </w:p>
    <w:p>
      <w:pPr>
        <w:pStyle w:val="ListBullet"/>
      </w:pPr>
      <w:r>
        <w:t>- Transformation Layer (T-SQL): To prevent Power Query bottlenecks, all heavy aggregations, distinct counts, and window functions (rolling 7-day and 28-day averages) are pushed upstream to SQL Server via highly optimized Views.</w:t>
      </w:r>
    </w:p>
    <w:p>
      <w:pPr>
        <w:pStyle w:val="ListBullet"/>
      </w:pPr>
      <w:r>
        <w:t>- Visualization Layer: Power BI Desktop, utilizing a DirectQuery/Import hybrid model for rapid slice-and-dice functionality on the front end.</w:t>
      </w:r>
    </w:p>
    <w:p>
      <w:pPr>
        <w:pStyle w:val="Heading1"/>
      </w:pPr>
      <w:r>
        <w:t>2. Comprehensive Database Schema &amp; SQL Views</w:t>
      </w:r>
    </w:p>
    <w:p>
      <w:pPr>
        <w:pStyle w:val="Heading2"/>
      </w:pPr>
      <w:r>
        <w:t>2.1 vw_Medical_Risk_Alerts (Primary Fact View)</w:t>
      </w:r>
    </w:p>
    <w:p>
      <w:r>
        <w:t>This view acts as the central hub for the Power BI dashboard, tracking daily player health metrics.</w:t>
      </w:r>
    </w:p>
    <w:p>
      <w:pPr>
        <w:pStyle w:val="ListBullet"/>
      </w:pPr>
      <w:r>
        <w:t>- Date [Date]: The calendar date of the match or recorded workload.</w:t>
      </w:r>
    </w:p>
    <w:p>
      <w:pPr>
        <w:pStyle w:val="ListBullet"/>
      </w:pPr>
      <w:r>
        <w:t>- PlayerID [Int]: Unique identifier (Foreign Key to Dim_Player).</w:t>
      </w:r>
    </w:p>
    <w:p>
      <w:pPr>
        <w:pStyle w:val="ListBullet"/>
      </w:pPr>
      <w:r>
        <w:t>- PlayerName [Varchar]: Full standardized name of the athlete.</w:t>
      </w:r>
    </w:p>
    <w:p>
      <w:pPr>
        <w:pStyle w:val="ListBullet"/>
      </w:pPr>
      <w:r>
        <w:t>- Daily_Load_Score [Float]: The calculated strain of the day based on balls bowled, runs scored, and fielding exertion.</w:t>
      </w:r>
    </w:p>
    <w:p>
      <w:pPr>
        <w:pStyle w:val="ListBullet"/>
      </w:pPr>
      <w:r>
        <w:t>- Acute_Load_7Day [Float]: Derived using SUM(Daily_Load_Score) OVER (PARTITION BY PlayerID ORDER BY Date ROWS BETWEEN 6 PRECEDING AND CURRENT ROW). Represents immediate fatigue.</w:t>
      </w:r>
    </w:p>
    <w:p>
      <w:pPr>
        <w:pStyle w:val="ListBullet"/>
      </w:pPr>
      <w:r>
        <w:t>- Chronic_Load_28Day [Float]: Derived using AVG(Daily_Load_Score) OVER (PARTITION BY PlayerID ORDER BY Date ROWS BETWEEN 27 PRECEDING AND CURRENT ROW). Represents long-term fitness base.</w:t>
      </w:r>
    </w:p>
    <w:p>
      <w:pPr>
        <w:pStyle w:val="ListBullet"/>
      </w:pPr>
      <w:r>
        <w:t>- ACWR [Float]: Acute_Load_7Day divided by Chronic_Load_28Day.</w:t>
      </w:r>
    </w:p>
    <w:p>
      <w:pPr>
        <w:pStyle w:val="ListBullet"/>
      </w:pPr>
      <w:r>
        <w:t>- Risk_Zone [Varchar]: Conditional categorization. "Danger Zone" (&gt;= 1.5), "Warning Zone" (1.2 to 1.49), "Safe Zone" (&lt; 1.2).</w:t>
      </w:r>
    </w:p>
    <w:p>
      <w:pPr>
        <w:pStyle w:val="ListBullet"/>
      </w:pPr>
      <w:r>
        <w:t>- medical_action [Varchar]: Prescribed intervention. Outputs "REST / OMIT", "RESTRICT OVERS", or "SAFE TO PLAY".</w:t>
      </w:r>
    </w:p>
    <w:p>
      <w:pPr>
        <w:pStyle w:val="Heading2"/>
      </w:pPr>
      <w:r>
        <w:t>2.2 vw_Venue_Pressure_Index (Venue Analytics View)</w:t>
      </w:r>
    </w:p>
    <w:p>
      <w:r>
        <w:t>Aggregates environmental and match data to quantify the physical demand of different stadiums.</w:t>
      </w:r>
    </w:p>
    <w:p>
      <w:pPr>
        <w:pStyle w:val="ListBullet"/>
      </w:pPr>
      <w:r>
        <w:t>- venue [Varchar]: Stadium name.</w:t>
      </w:r>
    </w:p>
    <w:p>
      <w:pPr>
        <w:pStyle w:val="ListBullet"/>
      </w:pPr>
      <w:r>
        <w:t>- Total_Matches_Hosted [Int]: Count of distinct match IDs.</w:t>
      </w:r>
    </w:p>
    <w:p>
      <w:pPr>
        <w:pStyle w:val="ListBullet"/>
      </w:pPr>
      <w:r>
        <w:t>- Average_Exertion [Float]: Custom metric weighting deliveries bowled and runs scored divided by matches hosted to index physical strain.</w:t>
      </w:r>
    </w:p>
    <w:p>
      <w:pPr>
        <w:pStyle w:val="Heading1"/>
      </w:pPr>
      <w:r>
        <w:t>3. Power BI DAX Formulas &amp; Logic</w:t>
      </w:r>
    </w:p>
    <w:p>
      <w:r>
        <w:t>The dashboard utilizes custom DAX measures for executive KPIs. These measures are designed to respect the visual filter context (Date, Risk Zone, Player).</w:t>
      </w:r>
    </w:p>
    <w:p>
      <w:pPr>
        <w:pStyle w:val="Heading3"/>
      </w:pPr>
      <w:r>
        <w:t>KPI 1: Critical Risk Alerts</w:t>
      </w:r>
    </w:p>
    <w:p>
      <w:r>
        <w:t>Calculates the absolute number of unique players currently exceeding the 1.5 ACWR threshold.</w:t>
      </w:r>
    </w:p>
    <w:p>
      <w:r>
        <w:t>DAX: Critical Risk Alerts = CALCULATE(DISTINCTCOUNT(vw_Medical_Risk_Alerts[PlayerName]), vw_Medical_Risk_Alerts[ACWR] &gt;= 1.5)</w:t>
      </w:r>
    </w:p>
    <w:p>
      <w:pPr>
        <w:pStyle w:val="Heading3"/>
      </w:pPr>
      <w:r>
        <w:t>KPI 2: Players Requiring Intervention</w:t>
      </w:r>
    </w:p>
    <w:p>
      <w:r>
        <w:t>Counts players whose calculated medical action demands immediate staff intervention.</w:t>
      </w:r>
    </w:p>
    <w:p>
      <w:r>
        <w:t>DAX: Players Requiring Intervention = CALCULATE(DISTINCTCOUNT(vw_Medical_Risk_Alerts[PlayerName]), vw_Medical_Risk_Alerts[medical_action] IN {"REST / OMIT", "RESTRICT OVERS"})</w:t>
      </w:r>
    </w:p>
    <w:p>
      <w:pPr>
        <w:pStyle w:val="Heading3"/>
      </w:pPr>
      <w:r>
        <w:t>KPI 3: Squad Fitness Rate</w:t>
      </w:r>
    </w:p>
    <w:p>
      <w:r>
        <w:t>Provides a percentage representation of players in the Safe Zone.</w:t>
      </w:r>
    </w:p>
    <w:p>
      <w:r>
        <w:t>DAX: Squad Fitness Rate = CALCULATE(DISTINCTCOUNT(vw_Medical_Risk_Alerts[PlayerName]), vw_Medical_Risk_Alerts[ACWR] &lt; 1.2) / DISTINCTCOUNT(vw_Medical_Risk_Alerts[PlayerName])</w:t>
      </w:r>
    </w:p>
    <w:p>
      <w:pPr>
        <w:pStyle w:val="Heading1"/>
      </w:pPr>
      <w:r>
        <w:t>4. UI/UX Design &amp; Front-End Specifications</w:t>
      </w:r>
    </w:p>
    <w:p>
      <w:r>
        <w:t>The visual layout follows modern 'Dark Mode Command Center' aesthetics, prioritizing high contrast for rapid decision-making.</w:t>
      </w:r>
    </w:p>
    <w:p>
      <w:pPr>
        <w:pStyle w:val="ListBullet"/>
      </w:pPr>
      <w:r>
        <w:t>- Color Palette: Canvas Background (Sky Blue / #87CEEB), Wallpaper (Dark Navy), Highlights (Cyan, Amber, Crimson).</w:t>
      </w:r>
    </w:p>
    <w:p>
      <w:pPr>
        <w:pStyle w:val="ListBullet"/>
      </w:pPr>
      <w:r>
        <w:t>- Z-Order &amp; Transparency: All visual backgrounds are set to 0% opacity. The custom IPL logo watermark is anchored to the bottom z-order layer to ensure it shows through the glass UI containers without obscuring data points.</w:t>
      </w:r>
    </w:p>
    <w:p>
      <w:pPr>
        <w:pStyle w:val="ListBullet"/>
      </w:pPr>
      <w:r>
        <w:t>- Conditional Formatting: Matrix tables utilize background rules on the ACWR column. Values &gt;= 1.5 trigger a hard red fill (#FF003C) to draw immediate attention. Text contrasts are forced to white for legibility.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