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8"/>
        </w:rPr>
        <w:t>SUPERSTORE SALES &amp; OPERATIONS COMMAND CENTER</w:t>
      </w:r>
    </w:p>
    <w:p>
      <w:pPr>
        <w:jc w:val="center"/>
      </w:pPr>
      <w:r>
        <w:rPr>
          <w:rFonts w:ascii="Calibri" w:hAnsi="Calibri"/>
          <w:i/>
          <w:color w:val="334155"/>
          <w:sz w:val="26"/>
        </w:rPr>
        <w:t>Comprehensive Analytics, Outlier Detection &amp; RFM Segmentation Report</w:t>
        <w:br/>
      </w:r>
      <w:r>
        <w:rPr>
          <w:rFonts w:ascii="Calibri" w:hAnsi="Calibri"/>
          <w:b/>
          <w:color w:val="0D9488"/>
          <w:sz w:val="22"/>
        </w:rPr>
        <w:t>Future Interns Task 1  |  Track Code: DS  |  Repository: FUTURE_DS_01</w:t>
      </w:r>
    </w:p>
    <w:p/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1. Executive Summary &amp; Strategic Problem Statement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Despite generating consistent national top-line revenue exceeding $2.29 Million across multiple commercial regions, Superstore lacked granular operational visibility into its primary profit drivers, fulfillment efficiency, and customer lifetime value. Management faced recurring challenges: low margins on high-volume product categories (such as Furniture), unidentified logistics delays breaching 4-day shipping SLAs, and an inability to distinguish high-value repeat buyers from churn-prone one-time purchasers.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This analytics initiative addresses these operational blind spots by engineering an end-to-end analytics pipeline and interactive Executive Command Center. Leveraging Python for data transformation, Interquartile Range (IQR) anomaly detection, and RFM Machine Learning Segmentation; SQL Server (SSMS) for Star Schema relational database modeling; and Power BI for high-contrast visual reporting, the solution equips decision-makers with real-time operational control.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D9488"/>
                <w:sz w:val="22"/>
              </w:rPr>
              <w:t>💡 EXECUTIVE COMMERCIAL BASELINE</w:t>
              <w:br/>
            </w:r>
            <w:r>
              <w:rPr>
                <w:rFonts w:ascii="Calibri" w:hAnsi="Calibri"/>
                <w:i/>
                <w:color w:val="1E293B"/>
                <w:sz w:val="21"/>
              </w:rPr>
              <w:t>Commercial Baseline &amp; Performance Highlights:</w:t>
              <w:br/>
              <w:t>• Total Gross Revenue: $2,297,200.86 across 5,009 total orders.</w:t>
              <w:br/>
              <w:t>• Cumulative Net Profit: $286,397.02 (Overall Profit Margin: 12.47%).</w:t>
              <w:br/>
              <w:t>• Active Customer Accounts: 793 unique B2B and retail clients.</w:t>
              <w:br/>
              <w:t>• Average Order Value (AOV): $458.61 per transaction.</w:t>
              <w:br/>
              <w:t>• On-Time Delivery Rate: 84.15% (15.85% SLA delay rate across shipping modes).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2. End-to-End Analytics Architecture &amp; Methodology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To ensure enterprise-grade reproducibility and scalability, the analytics architecture was built across three robust technological layers: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7"/>
        </w:rPr>
        <w:t>Phase 1: Python Data Engineering, IQR Anomaly Detection &amp; RFM Segmentation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Data Standardization &amp; Feature Engineering: </w:t>
      </w:r>
      <w:r>
        <w:rPr>
          <w:rFonts w:ascii="Calibri" w:hAnsi="Calibri"/>
          <w:color w:val="334155"/>
          <w:sz w:val="22"/>
        </w:rPr>
        <w:t>Cleaned raw transaction logs, standardized date attributes (Order Date, Ship Date), and engineered Processing_Days (Ship Date minus Order Date) to measure fulfillment speed.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IQR Outlier Detection: </w:t>
      </w:r>
      <w:r>
        <w:rPr>
          <w:rFonts w:ascii="Calibri" w:hAnsi="Calibri"/>
          <w:color w:val="334155"/>
          <w:sz w:val="22"/>
        </w:rPr>
        <w:t>Applied the Interquartile Range (IQR = Q3 - Q1) method on sales values to flag 'Whale Orders' (transactions exceeding Q3 + 1.5*IQR). Identified 1,167 high-value order outliers requiring dedicated account management.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RFM Machine Learning Segmentation: </w:t>
      </w:r>
      <w:r>
        <w:rPr>
          <w:rFonts w:ascii="Calibri" w:hAnsi="Calibri"/>
          <w:color w:val="334155"/>
          <w:sz w:val="22"/>
        </w:rPr>
        <w:t>Calculated Recency (days since last purchase), Frequency (total order count), and Monetary value (total spend) per customer. Quantile-scored accounts into 5 actionable tiers: Champions, Loyal Customers, Potential Loyalists, At-Risk, and Hibernating.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7"/>
        </w:rPr>
        <w:t>Phase 2: SQL Server Database Modeling &amp; Advanced T-SQL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Star Schema Warehouse: </w:t>
      </w:r>
      <w:r>
        <w:rPr>
          <w:rFonts w:ascii="Calibri" w:hAnsi="Calibri"/>
          <w:color w:val="334155"/>
          <w:sz w:val="22"/>
        </w:rPr>
        <w:t>Modeled relational database SuperstoreAnalytics into Fact_Sales connected via 1-to-Many relationships to Dim_Customer, Dim_Product, Dim_Geography, and Dim_Shipment.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Master Production Views: </w:t>
      </w:r>
      <w:r>
        <w:rPr>
          <w:rFonts w:ascii="Calibri" w:hAnsi="Calibri"/>
          <w:color w:val="334155"/>
          <w:sz w:val="22"/>
        </w:rPr>
        <w:t>Compiled 5 production SQL views in SSMS (vw_Superstore_Sales_Master, vw_Monthly_Revenue_Trends, vw_Product_Category_Profitability, vw_Customer_RFM_Summary, vw_Logistics_SLA_Performance).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10 Advanced Analytical Queries: </w:t>
      </w:r>
      <w:r>
        <w:rPr>
          <w:rFonts w:ascii="Calibri" w:hAnsi="Calibri"/>
          <w:color w:val="334155"/>
          <w:sz w:val="22"/>
        </w:rPr>
        <w:t>Engineered complex T-SQL queries utilizing CTEs, window functions (RANK(), DENSE_RANK(), LAG() for MoM growth), and conditional aggregations.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7"/>
        </w:rPr>
        <w:t>Phase 3: Power BI Executive Command Center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Data Modeling &amp; DAX Library: </w:t>
      </w:r>
      <w:r>
        <w:rPr>
          <w:rFonts w:ascii="Calibri" w:hAnsi="Calibri"/>
          <w:color w:val="334155"/>
          <w:sz w:val="22"/>
        </w:rPr>
        <w:t>Created a dedicated DAX measure library (_Measures) calculating Total Sales, Net Profit, Profit Margin %, AOV, On-Time Delivery %, and Delayed Shipments Count.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High-Contrast Visual UI: </w:t>
      </w:r>
      <w:r>
        <w:rPr>
          <w:rFonts w:ascii="Calibri" w:hAnsi="Calibri"/>
          <w:color w:val="334155"/>
          <w:sz w:val="22"/>
        </w:rPr>
        <w:t>Designed a dark-navy themed visual dashboard featuring 6 core KPI callout cards, 4 global slicers (Region, Category, Ship Mode, Order Year), and 5 drill-down interactive charts.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3. Core Key Performance Indicators (KPIs)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The table below details the operational KPIs established in Power BI and verified in SSMS: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KPI Metric Name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Operational Strategic Context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Total Sales Revenue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$2,297,200.86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Establishes baseline top-line commercial health across all regions.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Net Cumulative Profit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$286,397.02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Tracks bottom-line profitability after product costs and discounts.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Overall Profit Margin %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12.47%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Measures overall revenue conversion efficiency against retail target (15%).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Total Orders Handled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5,009 Orders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Quantifies warehouse order volume and operational processing load.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Average Order Value (AOV)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$458.61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Measures mean transaction basket size; target for upselling strategies.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Total Unique Customers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793 Accounts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Validates market penetration and client retention base.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On-Time Delivery Rate %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84.15%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Evaluates supply chain fulfillment speed against 4-day SLA target.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4. Deep-Dive Analytical Insights &amp; Visual Evidence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7"/>
        </w:rPr>
        <w:t>Insight 1: Revenue Trajectory &amp; Q4 Macro Seasonality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Multi-year time-series analysis reveals pronounced macro seasonality across Superstore operations. Sales experience predictable dips in Q1 (January/February), followed by steady growth throughout Q2 and Q3, culminating in a massive Q4 spike (November/December revenue jumps by 35% to 45% compared to annual baseline).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1_revenu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9"/>
        </w:rPr>
        <w:t>Figure 1: 24-Month Revenue Trajectory &amp; Macro Seasonality ($)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D9488"/>
                <w:sz w:val="22"/>
              </w:rPr>
              <w:t>💡 SEASONALITY INSIGHT</w:t>
              <w:br/>
            </w:r>
            <w:r>
              <w:rPr>
                <w:rFonts w:ascii="Calibri" w:hAnsi="Calibri"/>
                <w:i/>
                <w:color w:val="1E293B"/>
                <w:sz w:val="21"/>
              </w:rPr>
              <w:t>Supply Chain &amp; Workforce Strategy: The severe Q4 demand surges cause severe warehouse bottlenecks if staffing is kept static. Strategic recommendation: Increase temporary warehouse staffing and carrier capacity allocations by 30% starting October 15th to prevent delivery SLA breaches during peak holiday sales.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0D9488"/>
          <w:sz w:val="27"/>
        </w:rPr>
        <w:t>Insight 2: Product Category Profitability Paradox ('Furniture Trap')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Comparing top-line revenue against net profit across product categories reveals a major operational anomaly. While Technology ($836.2K revenue, $145.5K profit, 17.4% margin) and Office Supplies ($719.0K revenue, $122.5K profit, 17.0% margin) generate healthy margins, Furniture generates $742.0K in revenue but yields only $18.5K in net profit (a meager 2.49% margin).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1_category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9"/>
        </w:rPr>
        <w:t>Figure 2: Revenue vs. Net Profit Breakdown by Product Category ($K)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D9488"/>
                <w:sz w:val="22"/>
              </w:rPr>
              <w:t>💡 PROFITABILITY INSIGHT</w:t>
              <w:br/>
            </w:r>
            <w:r>
              <w:rPr>
                <w:rFonts w:ascii="Calibri" w:hAnsi="Calibri"/>
                <w:i/>
                <w:color w:val="1E293B"/>
                <w:sz w:val="21"/>
              </w:rPr>
              <w:t>Pricing &amp; Discount Optimization: Deep sub-category analysis shows heavy discounting on Tables (-15.8% margin) and Bookcases (-3.2% margin) is cannibalizing Furniture profits. Strategic recommendation: Cap maximum allowable promotional discounts on heavy furniture items at 15% and renegotiate freight shipping rates.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0D9488"/>
          <w:sz w:val="27"/>
        </w:rPr>
        <w:t>Insight 3: RFM Machine Learning Customer Segmentation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Customer segmentation via RFM scoring classified 793 accounts into 5 strategic tiers. Champions (215 accounts, 27.1%) and Loyal Customers (284 accounts, 35.8%) generate over 68% of total company revenue. However, 152 accounts (19.2%) fall into At-Risk or Hibernating segments, representing $380K in annual revenue exposure.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1_rfm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9"/>
        </w:rPr>
        <w:t>Figure 3: RFM Customer Segmentation Account Breakdown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7"/>
        </w:rPr>
        <w:t>Insight 4: Logistics SLA Breach &amp; Shipping Friction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Fulfillment speed analysis indicates an overall SLA delay rate of 15.85% (794 orders delayed beyond 4 days). Evaluating shipping modes demonstrates that Standard Class shipping suffers from a 23.8% delay rate, whereas Same Day (4.2%) and First Class (8.5%) maintain strong compliance.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1_shipping_de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9"/>
        </w:rPr>
        <w:t>Figure 4: Logistics SLA Breach Rate (%) by Shipping Mode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5. Technical Implementation Details: SQL &amp; Power BI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7"/>
        </w:rPr>
        <w:t>Summary of 10 Analytical T-SQL Queries (SSMS)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</w:tcPr>
          <w:p>
            <w:r>
              <w:rPr>
                <w:b/>
                <w:color w:val="FFFFFF"/>
              </w:rPr>
              <w:t>Query #</w:t>
            </w:r>
          </w:p>
        </w:tc>
        <w:tc>
          <w:tcPr>
            <w:tcW w:type="dxa" w:w="4680"/>
            <w:shd w:fill="0F172A"/>
          </w:tcPr>
          <w:p>
            <w:r>
              <w:rPr>
                <w:b/>
                <w:color w:val="FFFFFF"/>
              </w:rPr>
              <w:t>Business Analytical Focus &amp; T-SQL Technical Logic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Executive Baseline: Aggregates total sales ($2.30M), net profit ($286.4K), and profit margin (12.47%).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Month-over-Month (MoM) Growth: Uses LAG() window function to calculate MoM sales growth % and revenue delta.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Category Profit Ranking: Ranks product sub-categories by net profit margin using DENSE_RANK().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Regional Revenue Ranks: Ranks states within each geographical region by sales revenue using PARTITION BY.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5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Logistics SLA Delay Audit: Calculates processing days (Ship Date - Order Date) and flags orders exceeding 4 days.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6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Whale Order Identification: Identifies high-value orders exceeding the IQR threshold ($1,200+) for account auditing.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7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Discount Impact Analysis: Evaluates profit margin degradation across discount buckets (0%, 10-20%, &gt;30%).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8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Customer Lifetime Value (LTV): Ranks top 20 corporate accounts by total spend and repeat order frequency.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9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Shipping Mode Efficiency: Aggregates average processing days and delay percentages across shipping modes.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Query 10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Pareto Revenue Distribution: Computes running cumulative sales percentage using SUM() OVER() to identify top 20% products.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6. Actionable Executive Recommendations &amp; Playbook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1. Eliminate Unprofitable Furniture Discounts: </w:t>
      </w:r>
      <w:r>
        <w:rPr>
          <w:rFonts w:ascii="Calibri" w:hAnsi="Calibri"/>
          <w:color w:val="334155"/>
          <w:sz w:val="22"/>
        </w:rPr>
        <w:t>Immediately enforce a 15% discount ceiling on Tables and Bookcases to restore Furniture category profit margins from 2.49% back to the target 12% baseline.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2. RFM At-Risk Account Win-Back Campaign: </w:t>
      </w:r>
      <w:r>
        <w:rPr>
          <w:rFonts w:ascii="Calibri" w:hAnsi="Calibri"/>
          <w:color w:val="334155"/>
          <w:sz w:val="22"/>
        </w:rPr>
        <w:t>Deploy automated email sequences with exclusive 10% promotional offers to the 152 At-Risk and Hibernating accounts to protect $380K in revenue.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3. Standard Class Logistics Overhaul: </w:t>
      </w:r>
      <w:r>
        <w:rPr>
          <w:rFonts w:ascii="Calibri" w:hAnsi="Calibri"/>
          <w:color w:val="334155"/>
          <w:sz w:val="22"/>
        </w:rPr>
        <w:t>Partner with regional 3PL logistics providers to audit Standard Class shipping routes, targeting a reduction in processing times from 5.1 days to under 3.8 days.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4. Champion Loyalty Perks: </w:t>
      </w:r>
      <w:r>
        <w:rPr>
          <w:rFonts w:ascii="Calibri" w:hAnsi="Calibri"/>
          <w:color w:val="334155"/>
          <w:sz w:val="22"/>
        </w:rPr>
        <w:t>Create an VIP account tier for the 215 Champions segment offering dedicated account management, priority shipping, and quarterly bulk order rebates.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