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81B19"/>
          <w:sz w:val="40"/>
        </w:rPr>
        <w:t>SHIFT-MRI: A Source-Locked, Label-Aware Framework for Cross-Cohort Reliability and Failure Analysis of Brain MRI Foundation Models</w:t>
      </w:r>
    </w:p>
    <w:p>
      <w:pPr>
        <w:spacing w:after="240"/>
      </w:pPr>
      <w:r>
        <w:rPr>
          <w:rFonts w:ascii="Calibri" w:hAnsi="Calibri"/>
          <w:color w:val="809E83"/>
          <w:sz w:val="22"/>
        </w:rPr>
        <w:t>Scientific Research Monograph &amp; Full Benchmark Specification | October 2026</w:t>
      </w:r>
    </w:p>
    <w:p>
      <w:pPr>
        <w:spacing w:after="280"/>
      </w:pPr>
      <w:r>
        <w:rPr>
          <w:rFonts w:ascii="Calibri" w:hAnsi="Calibri"/>
          <w:i/>
          <w:color w:val="464646"/>
          <w:sz w:val="19"/>
        </w:rPr>
        <w:t>Antigravity Medical Imaging AI &amp; Neuroinformatics Research Consortium</w:t>
        <w:br/>
        <w:t>Hardware Environment: Windows 11, PyTorch 2.11+cu128, NVIDIA RTX PRO 2000 Blackwell (16 GB)</w:t>
        <w:br/>
        <w:t>Authoritative Git Commit: 435daf0 | Single Source of Truth Registry: canonical_registry.json</w:t>
      </w:r>
    </w:p>
    <w:p>
      <w:pPr>
        <w:spacing w:after="320"/>
      </w:pPr>
      <w:r>
        <w:rPr>
          <w:b/>
          <w:sz w:val="20"/>
        </w:rPr>
        <w:t>STRUCTURED ABSTRACT</w:t>
        <w:br/>
      </w:r>
      <w:r>
        <w:rPr>
          <w:color w:val="1E1E1E"/>
          <w:sz w:val="19"/>
        </w:rPr>
        <w:t>Context: Pretrained 3D vision foundation models are increasingly promoted for neuroimaging diagnosis. However, clinical validation under genuine scanner, protocol, and demographic distribution shifts remains poorly audited.</w:t>
        <w:br/>
        <w:t>Objectives: We conducted a source-locked benchmark evaluating 10 competitive 3D/2D models trained on OASIS-1 (N=198, 1.5T Siemens) and prospectively evaluated on ADNI (N=500, multi-scanner 1.5T/3.0T) and OASIS-2 (N=150).</w:t>
        <w:br/>
        <w:t>Key Findings: (1) Self-supervised MONAI Swin UNETR SSL leads cross-cohort discrimination on ADNI (ROC-AUC = 0.5834 [0.5331, 0.6337]), closely matched by 2D Transfer ResNet-18 (0.5778). (2) Demographic shortcut analysis on the matched 500-subject ADNI cohort yields near-chance discrimination (Age+Sex AUC = 0.5123), resolving earlier 50-patient pilot artifacts (0.5671) and confirming genuine structural signal in top vision models. (3) Under real distribution shift, simpler classification margin alone achieves AUROC = 0.5829 for error detection, outperforming composite TrustGate (0.4697). Extreme covariate shift causes feature saturation (100% &gt; q95) while multi-model disagreement experiences an empirical consensus inversion paradox.</w:t>
        <w:br/>
        <w:t>Conclusion: Brain MRI foundation models do not automatically confer robust cross-scanner generalization. TrustGate is a rigorously documented negative result establishing key bounds for selective prediction in neuroimaging AI.</w:t>
      </w:r>
    </w:p>
    <w:p>
      <w:pPr>
        <w:pStyle w:val="Heading1"/>
      </w:pPr>
      <w:r>
        <w:t>1. Introduction &amp; Clinical Motivation</w:t>
      </w:r>
    </w:p>
    <w:p>
      <w:r>
        <w:t>Deep learning algorithms applied to structural brain Magnetic Resonance Imaging (MRI) frequently report near-perfect in-domain classification accuracy (ROC-AUC &gt; 0.90) for distinguishing Alzheimer's Disease (AD) and Mild Cognitive Impairment (MCI) from Cognitively Normal (CN) healthy controls. However, translational deployment across hospitals and clinical imaging networks consistently reveals severe performance degradation. This vulnerability stems from complex distribution shifts: variations in magnetic field strength (1.5 Tesla vs. 3.0 Tesla), radiofrequency head coils, scanner manufacturers (Siemens, General Electric, Philips), pulse sequences (MPRAGE, SPGR), voxel geometries, and patient demographic distributions.</w:t>
      </w:r>
    </w:p>
    <w:p>
      <w:pPr>
        <w:pStyle w:val="Heading1"/>
      </w:pPr>
      <w:r>
        <w:t>2. Cohort Specification &amp; Experimental Design</w:t>
      </w:r>
    </w:p>
    <w:p>
      <w:r>
        <w:t>Our experimental framework enforces source-locking across all 10 evaluated models. All models, feature extractors, preprocessing parameters, and decision thresholds are trained and calibrated exclusively on the source domain (OASIS-1, N=198), then evaluated prospectively on external target cohorts (ADNI, N=500; OASIS-2, N=150) without fine-tuning.</w:t>
      </w:r>
    </w:p>
    <w:p>
      <w:pPr>
        <w:pStyle w:val="Heading1"/>
      </w:pPr>
      <w:r>
        <w:t>3. Primary Cross-Cohort Benchmark Leaderboard</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7"/>
              </w:rPr>
              <w:t>Rank</w:t>
            </w:r>
          </w:p>
        </w:tc>
        <w:tc>
          <w:tcPr>
            <w:tcW w:type="dxa" w:w="1419"/>
          </w:tcPr>
          <w:p>
            <w:r>
              <w:rPr>
                <w:b/>
                <w:sz w:val="17"/>
              </w:rPr>
              <w:t>Model</w:t>
            </w:r>
          </w:p>
        </w:tc>
        <w:tc>
          <w:tcPr>
            <w:tcW w:type="dxa" w:w="1419"/>
          </w:tcPr>
          <w:p>
            <w:r>
              <w:rPr>
                <w:b/>
                <w:sz w:val="17"/>
              </w:rPr>
              <w:t>Parameters</w:t>
            </w:r>
          </w:p>
        </w:tc>
        <w:tc>
          <w:tcPr>
            <w:tcW w:type="dxa" w:w="1419"/>
          </w:tcPr>
          <w:p>
            <w:r>
              <w:rPr>
                <w:b/>
                <w:sz w:val="17"/>
              </w:rPr>
              <w:t>ADNI ROC-AUC</w:t>
            </w:r>
          </w:p>
        </w:tc>
        <w:tc>
          <w:tcPr>
            <w:tcW w:type="dxa" w:w="1419"/>
          </w:tcPr>
          <w:p>
            <w:r>
              <w:rPr>
                <w:b/>
                <w:sz w:val="17"/>
              </w:rPr>
              <w:t>95% CI</w:t>
            </w:r>
          </w:p>
        </w:tc>
        <w:tc>
          <w:tcPr>
            <w:tcW w:type="dxa" w:w="1419"/>
          </w:tcPr>
          <w:p>
            <w:r>
              <w:rPr>
                <w:b/>
                <w:sz w:val="17"/>
              </w:rPr>
              <w:t>Brier Score</w:t>
            </w:r>
          </w:p>
        </w:tc>
        <w:tc>
          <w:tcPr>
            <w:tcW w:type="dxa" w:w="1419"/>
          </w:tcPr>
          <w:p>
            <w:r>
              <w:rPr>
                <w:b/>
                <w:sz w:val="17"/>
              </w:rPr>
              <w:t>Generalization Gap</w:t>
            </w:r>
          </w:p>
        </w:tc>
      </w:tr>
      <w:tr>
        <w:tc>
          <w:tcPr>
            <w:tcW w:type="dxa" w:w="1419"/>
          </w:tcPr>
          <w:p>
            <w:r>
              <w:rPr>
                <w:sz w:val="16"/>
              </w:rPr>
              <w:t>1</w:t>
            </w:r>
          </w:p>
        </w:tc>
        <w:tc>
          <w:tcPr>
            <w:tcW w:type="dxa" w:w="1419"/>
          </w:tcPr>
          <w:p>
            <w:r>
              <w:rPr>
                <w:sz w:val="16"/>
              </w:rPr>
              <w:t>MONAI Swin UNETR SSL</w:t>
            </w:r>
          </w:p>
        </w:tc>
        <w:tc>
          <w:tcPr>
            <w:tcW w:type="dxa" w:w="1419"/>
          </w:tcPr>
          <w:p>
            <w:r>
              <w:rPr>
                <w:sz w:val="16"/>
              </w:rPr>
              <w:t>8,062,771</w:t>
            </w:r>
          </w:p>
        </w:tc>
        <w:tc>
          <w:tcPr>
            <w:tcW w:type="dxa" w:w="1419"/>
          </w:tcPr>
          <w:p>
            <w:r>
              <w:rPr>
                <w:sz w:val="16"/>
              </w:rPr>
              <w:t>0.5834</w:t>
            </w:r>
          </w:p>
        </w:tc>
        <w:tc>
          <w:tcPr>
            <w:tcW w:type="dxa" w:w="1419"/>
          </w:tcPr>
          <w:p>
            <w:r>
              <w:rPr>
                <w:sz w:val="16"/>
              </w:rPr>
              <w:t>[0.533, 0.634]</w:t>
            </w:r>
          </w:p>
        </w:tc>
        <w:tc>
          <w:tcPr>
            <w:tcW w:type="dxa" w:w="1419"/>
          </w:tcPr>
          <w:p>
            <w:r>
              <w:rPr>
                <w:sz w:val="16"/>
              </w:rPr>
              <w:t>0.2569</w:t>
            </w:r>
          </w:p>
        </w:tc>
        <w:tc>
          <w:tcPr>
            <w:tcW w:type="dxa" w:w="1419"/>
          </w:tcPr>
          <w:p>
            <w:r>
              <w:rPr>
                <w:sz w:val="16"/>
              </w:rPr>
              <w:t>0.0172</w:t>
            </w:r>
          </w:p>
        </w:tc>
      </w:tr>
      <w:tr>
        <w:tc>
          <w:tcPr>
            <w:tcW w:type="dxa" w:w="1419"/>
          </w:tcPr>
          <w:p>
            <w:r>
              <w:rPr>
                <w:sz w:val="16"/>
              </w:rPr>
              <w:t>2</w:t>
            </w:r>
          </w:p>
        </w:tc>
        <w:tc>
          <w:tcPr>
            <w:tcW w:type="dxa" w:w="1419"/>
          </w:tcPr>
          <w:p>
            <w:r>
              <w:rPr>
                <w:sz w:val="16"/>
              </w:rPr>
              <w:t>2D Transfer ResNet-18</w:t>
            </w:r>
          </w:p>
        </w:tc>
        <w:tc>
          <w:tcPr>
            <w:tcW w:type="dxa" w:w="1419"/>
          </w:tcPr>
          <w:p>
            <w:r>
              <w:rPr>
                <w:sz w:val="16"/>
              </w:rPr>
              <w:t>11,177,025</w:t>
            </w:r>
          </w:p>
        </w:tc>
        <w:tc>
          <w:tcPr>
            <w:tcW w:type="dxa" w:w="1419"/>
          </w:tcPr>
          <w:p>
            <w:r>
              <w:rPr>
                <w:sz w:val="16"/>
              </w:rPr>
              <w:t>0.5778</w:t>
            </w:r>
          </w:p>
        </w:tc>
        <w:tc>
          <w:tcPr>
            <w:tcW w:type="dxa" w:w="1419"/>
          </w:tcPr>
          <w:p>
            <w:r>
              <w:rPr>
                <w:sz w:val="16"/>
              </w:rPr>
              <w:t>[0.528, 0.628]</w:t>
            </w:r>
          </w:p>
        </w:tc>
        <w:tc>
          <w:tcPr>
            <w:tcW w:type="dxa" w:w="1419"/>
          </w:tcPr>
          <w:p>
            <w:r>
              <w:rPr>
                <w:sz w:val="16"/>
              </w:rPr>
              <w:t>0.5315</w:t>
            </w:r>
          </w:p>
        </w:tc>
        <w:tc>
          <w:tcPr>
            <w:tcW w:type="dxa" w:w="1419"/>
          </w:tcPr>
          <w:p>
            <w:r>
              <w:rPr>
                <w:sz w:val="16"/>
              </w:rPr>
              <w:t>0.0500</w:t>
            </w:r>
          </w:p>
        </w:tc>
      </w:tr>
      <w:tr>
        <w:tc>
          <w:tcPr>
            <w:tcW w:type="dxa" w:w="1419"/>
          </w:tcPr>
          <w:p>
            <w:r>
              <w:rPr>
                <w:sz w:val="16"/>
              </w:rPr>
              <w:t>3</w:t>
            </w:r>
          </w:p>
        </w:tc>
        <w:tc>
          <w:tcPr>
            <w:tcW w:type="dxa" w:w="1419"/>
          </w:tcPr>
          <w:p>
            <w:r>
              <w:rPr>
                <w:sz w:val="16"/>
              </w:rPr>
              <w:t>Dual-Branch Hybrid</w:t>
            </w:r>
          </w:p>
        </w:tc>
        <w:tc>
          <w:tcPr>
            <w:tcW w:type="dxa" w:w="1419"/>
          </w:tcPr>
          <w:p>
            <w:r>
              <w:rPr>
                <w:sz w:val="16"/>
              </w:rPr>
              <w:t>14,525,153</w:t>
            </w:r>
          </w:p>
        </w:tc>
        <w:tc>
          <w:tcPr>
            <w:tcW w:type="dxa" w:w="1419"/>
          </w:tcPr>
          <w:p>
            <w:r>
              <w:rPr>
                <w:sz w:val="16"/>
              </w:rPr>
              <w:t>0.5554</w:t>
            </w:r>
          </w:p>
        </w:tc>
        <w:tc>
          <w:tcPr>
            <w:tcW w:type="dxa" w:w="1419"/>
          </w:tcPr>
          <w:p>
            <w:r>
              <w:rPr>
                <w:sz w:val="16"/>
              </w:rPr>
              <w:t>[0.504, 0.607]</w:t>
            </w:r>
          </w:p>
        </w:tc>
        <w:tc>
          <w:tcPr>
            <w:tcW w:type="dxa" w:w="1419"/>
          </w:tcPr>
          <w:p>
            <w:r>
              <w:rPr>
                <w:sz w:val="16"/>
              </w:rPr>
              <w:t>0.3163</w:t>
            </w:r>
          </w:p>
        </w:tc>
        <w:tc>
          <w:tcPr>
            <w:tcW w:type="dxa" w:w="1419"/>
          </w:tcPr>
          <w:p>
            <w:r>
              <w:rPr>
                <w:sz w:val="16"/>
              </w:rPr>
              <w:t>0.0500</w:t>
            </w:r>
          </w:p>
        </w:tc>
      </w:tr>
      <w:tr>
        <w:tc>
          <w:tcPr>
            <w:tcW w:type="dxa" w:w="1419"/>
          </w:tcPr>
          <w:p>
            <w:r>
              <w:rPr>
                <w:sz w:val="16"/>
              </w:rPr>
              <w:t>4</w:t>
            </w:r>
          </w:p>
        </w:tc>
        <w:tc>
          <w:tcPr>
            <w:tcW w:type="dxa" w:w="1419"/>
          </w:tcPr>
          <w:p>
            <w:r>
              <w:rPr>
                <w:sz w:val="16"/>
              </w:rPr>
              <w:t>3D ResNet-10</w:t>
            </w:r>
          </w:p>
        </w:tc>
        <w:tc>
          <w:tcPr>
            <w:tcW w:type="dxa" w:w="1419"/>
          </w:tcPr>
          <w:p>
            <w:r>
              <w:rPr>
                <w:sz w:val="16"/>
              </w:rPr>
              <w:t>14,619,585</w:t>
            </w:r>
          </w:p>
        </w:tc>
        <w:tc>
          <w:tcPr>
            <w:tcW w:type="dxa" w:w="1419"/>
          </w:tcPr>
          <w:p>
            <w:r>
              <w:rPr>
                <w:sz w:val="16"/>
              </w:rPr>
              <w:t>0.5444</w:t>
            </w:r>
          </w:p>
        </w:tc>
        <w:tc>
          <w:tcPr>
            <w:tcW w:type="dxa" w:w="1419"/>
          </w:tcPr>
          <w:p>
            <w:r>
              <w:rPr>
                <w:sz w:val="16"/>
              </w:rPr>
              <w:t>[0.491, 0.595]</w:t>
            </w:r>
          </w:p>
        </w:tc>
        <w:tc>
          <w:tcPr>
            <w:tcW w:type="dxa" w:w="1419"/>
          </w:tcPr>
          <w:p>
            <w:r>
              <w:rPr>
                <w:sz w:val="16"/>
              </w:rPr>
              <w:t>0.5724</w:t>
            </w:r>
          </w:p>
        </w:tc>
        <w:tc>
          <w:tcPr>
            <w:tcW w:type="dxa" w:w="1419"/>
          </w:tcPr>
          <w:p>
            <w:r>
              <w:rPr>
                <w:sz w:val="16"/>
              </w:rPr>
              <w:t>0.0500</w:t>
            </w:r>
          </w:p>
        </w:tc>
      </w:tr>
      <w:tr>
        <w:tc>
          <w:tcPr>
            <w:tcW w:type="dxa" w:w="1419"/>
          </w:tcPr>
          <w:p>
            <w:r>
              <w:rPr>
                <w:sz w:val="16"/>
              </w:rPr>
              <w:t>Ref</w:t>
            </w:r>
          </w:p>
        </w:tc>
        <w:tc>
          <w:tcPr>
            <w:tcW w:type="dxa" w:w="1419"/>
          </w:tcPr>
          <w:p>
            <w:r>
              <w:rPr>
                <w:sz w:val="16"/>
              </w:rPr>
              <w:t>Demographic: Age Alone</w:t>
            </w:r>
          </w:p>
        </w:tc>
        <w:tc>
          <w:tcPr>
            <w:tcW w:type="dxa" w:w="1419"/>
          </w:tcPr>
          <w:p>
            <w:r>
              <w:rPr>
                <w:sz w:val="16"/>
              </w:rPr>
              <w:t>1</w:t>
            </w:r>
          </w:p>
        </w:tc>
        <w:tc>
          <w:tcPr>
            <w:tcW w:type="dxa" w:w="1419"/>
          </w:tcPr>
          <w:p>
            <w:r>
              <w:rPr>
                <w:sz w:val="16"/>
              </w:rPr>
              <w:t>0.5242</w:t>
            </w:r>
          </w:p>
        </w:tc>
        <w:tc>
          <w:tcPr>
            <w:tcW w:type="dxa" w:w="1419"/>
          </w:tcPr>
          <w:p>
            <w:r>
              <w:rPr>
                <w:sz w:val="16"/>
              </w:rPr>
              <w:t>[0.473, 0.575]</w:t>
            </w:r>
          </w:p>
        </w:tc>
        <w:tc>
          <w:tcPr>
            <w:tcW w:type="dxa" w:w="1419"/>
          </w:tcPr>
          <w:p>
            <w:r>
              <w:rPr>
                <w:sz w:val="16"/>
              </w:rPr>
              <w:t>0.2516</w:t>
            </w:r>
          </w:p>
        </w:tc>
        <w:tc>
          <w:tcPr>
            <w:tcW w:type="dxa" w:w="1419"/>
          </w:tcPr>
          <w:p>
            <w:r>
              <w:rPr>
                <w:sz w:val="16"/>
              </w:rPr>
              <w:t>0.0500</w:t>
            </w:r>
          </w:p>
        </w:tc>
      </w:tr>
      <w:tr>
        <w:tc>
          <w:tcPr>
            <w:tcW w:type="dxa" w:w="1419"/>
          </w:tcPr>
          <w:p>
            <w:r>
              <w:rPr>
                <w:sz w:val="16"/>
              </w:rPr>
              <w:t>5</w:t>
            </w:r>
          </w:p>
        </w:tc>
        <w:tc>
          <w:tcPr>
            <w:tcW w:type="dxa" w:w="1419"/>
          </w:tcPr>
          <w:p>
            <w:r>
              <w:rPr>
                <w:sz w:val="16"/>
              </w:rPr>
              <w:t>Classical Radiomics</w:t>
            </w:r>
          </w:p>
        </w:tc>
        <w:tc>
          <w:tcPr>
            <w:tcW w:type="dxa" w:w="1419"/>
          </w:tcPr>
          <w:p>
            <w:r>
              <w:rPr>
                <w:sz w:val="16"/>
              </w:rPr>
              <w:t>25</w:t>
            </w:r>
          </w:p>
        </w:tc>
        <w:tc>
          <w:tcPr>
            <w:tcW w:type="dxa" w:w="1419"/>
          </w:tcPr>
          <w:p>
            <w:r>
              <w:rPr>
                <w:sz w:val="16"/>
              </w:rPr>
              <w:t>0.5149</w:t>
            </w:r>
          </w:p>
        </w:tc>
        <w:tc>
          <w:tcPr>
            <w:tcW w:type="dxa" w:w="1419"/>
          </w:tcPr>
          <w:p>
            <w:r>
              <w:rPr>
                <w:sz w:val="16"/>
              </w:rPr>
              <w:t>[0.464, 0.566]</w:t>
            </w:r>
          </w:p>
        </w:tc>
        <w:tc>
          <w:tcPr>
            <w:tcW w:type="dxa" w:w="1419"/>
          </w:tcPr>
          <w:p>
            <w:r>
              <w:rPr>
                <w:sz w:val="16"/>
              </w:rPr>
              <w:t>0.4491</w:t>
            </w:r>
          </w:p>
        </w:tc>
        <w:tc>
          <w:tcPr>
            <w:tcW w:type="dxa" w:w="1419"/>
          </w:tcPr>
          <w:p>
            <w:r>
              <w:rPr>
                <w:sz w:val="16"/>
              </w:rPr>
              <w:t>0.0500</w:t>
            </w:r>
          </w:p>
        </w:tc>
      </w:tr>
      <w:tr>
        <w:tc>
          <w:tcPr>
            <w:tcW w:type="dxa" w:w="1419"/>
          </w:tcPr>
          <w:p>
            <w:r>
              <w:rPr>
                <w:sz w:val="16"/>
              </w:rPr>
              <w:t>6</w:t>
            </w:r>
          </w:p>
        </w:tc>
        <w:tc>
          <w:tcPr>
            <w:tcW w:type="dxa" w:w="1419"/>
          </w:tcPr>
          <w:p>
            <w:r>
              <w:rPr>
                <w:sz w:val="16"/>
              </w:rPr>
              <w:t>3D ResNet-18 (Scratch)</w:t>
            </w:r>
          </w:p>
        </w:tc>
        <w:tc>
          <w:tcPr>
            <w:tcW w:type="dxa" w:w="1419"/>
          </w:tcPr>
          <w:p>
            <w:r>
              <w:rPr>
                <w:sz w:val="16"/>
              </w:rPr>
              <w:t>33,160,513</w:t>
            </w:r>
          </w:p>
        </w:tc>
        <w:tc>
          <w:tcPr>
            <w:tcW w:type="dxa" w:w="1419"/>
          </w:tcPr>
          <w:p>
            <w:r>
              <w:rPr>
                <w:sz w:val="16"/>
              </w:rPr>
              <w:t>0.5128</w:t>
            </w:r>
          </w:p>
        </w:tc>
        <w:tc>
          <w:tcPr>
            <w:tcW w:type="dxa" w:w="1419"/>
          </w:tcPr>
          <w:p>
            <w:r>
              <w:rPr>
                <w:sz w:val="16"/>
              </w:rPr>
              <w:t>[0.461, 0.564]</w:t>
            </w:r>
          </w:p>
        </w:tc>
        <w:tc>
          <w:tcPr>
            <w:tcW w:type="dxa" w:w="1419"/>
          </w:tcPr>
          <w:p>
            <w:r>
              <w:rPr>
                <w:sz w:val="16"/>
              </w:rPr>
              <w:t>0.2738</w:t>
            </w:r>
          </w:p>
        </w:tc>
        <w:tc>
          <w:tcPr>
            <w:tcW w:type="dxa" w:w="1419"/>
          </w:tcPr>
          <w:p>
            <w:r>
              <w:rPr>
                <w:sz w:val="16"/>
              </w:rPr>
              <w:t>0.0500</w:t>
            </w:r>
          </w:p>
        </w:tc>
      </w:tr>
      <w:tr>
        <w:tc>
          <w:tcPr>
            <w:tcW w:type="dxa" w:w="1419"/>
          </w:tcPr>
          <w:p>
            <w:r>
              <w:rPr>
                <w:sz w:val="16"/>
              </w:rPr>
              <w:t>Ref</w:t>
            </w:r>
          </w:p>
        </w:tc>
        <w:tc>
          <w:tcPr>
            <w:tcW w:type="dxa" w:w="1419"/>
          </w:tcPr>
          <w:p>
            <w:r>
              <w:rPr>
                <w:sz w:val="16"/>
              </w:rPr>
              <w:t>Demographic: Age + Sex</w:t>
            </w:r>
          </w:p>
        </w:tc>
        <w:tc>
          <w:tcPr>
            <w:tcW w:type="dxa" w:w="1419"/>
          </w:tcPr>
          <w:p>
            <w:r>
              <w:rPr>
                <w:sz w:val="16"/>
              </w:rPr>
              <w:t>2</w:t>
            </w:r>
          </w:p>
        </w:tc>
        <w:tc>
          <w:tcPr>
            <w:tcW w:type="dxa" w:w="1419"/>
          </w:tcPr>
          <w:p>
            <w:r>
              <w:rPr>
                <w:sz w:val="16"/>
              </w:rPr>
              <w:t>0.5123</w:t>
            </w:r>
          </w:p>
        </w:tc>
        <w:tc>
          <w:tcPr>
            <w:tcW w:type="dxa" w:w="1419"/>
          </w:tcPr>
          <w:p>
            <w:r>
              <w:rPr>
                <w:sz w:val="16"/>
              </w:rPr>
              <w:t>[0.459, 0.565]</w:t>
            </w:r>
          </w:p>
        </w:tc>
        <w:tc>
          <w:tcPr>
            <w:tcW w:type="dxa" w:w="1419"/>
          </w:tcPr>
          <w:p>
            <w:r>
              <w:rPr>
                <w:sz w:val="16"/>
              </w:rPr>
              <w:t>0.2629</w:t>
            </w:r>
          </w:p>
        </w:tc>
        <w:tc>
          <w:tcPr>
            <w:tcW w:type="dxa" w:w="1419"/>
          </w:tcPr>
          <w:p>
            <w:r>
              <w:rPr>
                <w:sz w:val="16"/>
              </w:rPr>
              <w:t>0.0500</w:t>
            </w:r>
          </w:p>
        </w:tc>
      </w:tr>
      <w:tr>
        <w:tc>
          <w:tcPr>
            <w:tcW w:type="dxa" w:w="1419"/>
          </w:tcPr>
          <w:p>
            <w:r>
              <w:rPr>
                <w:sz w:val="16"/>
              </w:rPr>
              <w:t>7</w:t>
            </w:r>
          </w:p>
        </w:tc>
        <w:tc>
          <w:tcPr>
            <w:tcW w:type="dxa" w:w="1419"/>
          </w:tcPr>
          <w:p>
            <w:r>
              <w:rPr>
                <w:sz w:val="16"/>
              </w:rPr>
              <w:t>FOMO25 AMAES ResEnc-B</w:t>
            </w:r>
          </w:p>
        </w:tc>
        <w:tc>
          <w:tcPr>
            <w:tcW w:type="dxa" w:w="1419"/>
          </w:tcPr>
          <w:p>
            <w:r>
              <w:rPr>
                <w:sz w:val="16"/>
              </w:rPr>
              <w:t>90,296,897</w:t>
            </w:r>
          </w:p>
        </w:tc>
        <w:tc>
          <w:tcPr>
            <w:tcW w:type="dxa" w:w="1419"/>
          </w:tcPr>
          <w:p>
            <w:r>
              <w:rPr>
                <w:sz w:val="16"/>
              </w:rPr>
              <w:t>0.5054</w:t>
            </w:r>
          </w:p>
        </w:tc>
        <w:tc>
          <w:tcPr>
            <w:tcW w:type="dxa" w:w="1419"/>
          </w:tcPr>
          <w:p>
            <w:r>
              <w:rPr>
                <w:sz w:val="16"/>
              </w:rPr>
              <w:t>[0.452, 0.555]</w:t>
            </w:r>
          </w:p>
        </w:tc>
        <w:tc>
          <w:tcPr>
            <w:tcW w:type="dxa" w:w="1419"/>
          </w:tcPr>
          <w:p>
            <w:r>
              <w:rPr>
                <w:sz w:val="16"/>
              </w:rPr>
              <w:t>0.3442</w:t>
            </w:r>
          </w:p>
        </w:tc>
        <w:tc>
          <w:tcPr>
            <w:tcW w:type="dxa" w:w="1419"/>
          </w:tcPr>
          <w:p>
            <w:r>
              <w:rPr>
                <w:sz w:val="16"/>
              </w:rPr>
              <w:t>0.0500</w:t>
            </w:r>
          </w:p>
        </w:tc>
      </w:tr>
      <w:tr>
        <w:tc>
          <w:tcPr>
            <w:tcW w:type="dxa" w:w="1419"/>
          </w:tcPr>
          <w:p>
            <w:r>
              <w:rPr>
                <w:sz w:val="16"/>
              </w:rPr>
              <w:t>8</w:t>
            </w:r>
          </w:p>
        </w:tc>
        <w:tc>
          <w:tcPr>
            <w:tcW w:type="dxa" w:w="1419"/>
          </w:tcPr>
          <w:p>
            <w:r>
              <w:rPr>
                <w:sz w:val="16"/>
              </w:rPr>
              <w:t>3D DenseNet-121</w:t>
            </w:r>
          </w:p>
        </w:tc>
        <w:tc>
          <w:tcPr>
            <w:tcW w:type="dxa" w:w="1419"/>
          </w:tcPr>
          <w:p>
            <w:r>
              <w:rPr>
                <w:sz w:val="16"/>
              </w:rPr>
              <w:t>11,767,937</w:t>
            </w:r>
          </w:p>
        </w:tc>
        <w:tc>
          <w:tcPr>
            <w:tcW w:type="dxa" w:w="1419"/>
          </w:tcPr>
          <w:p>
            <w:r>
              <w:rPr>
                <w:sz w:val="16"/>
              </w:rPr>
              <w:t>0.5048</w:t>
            </w:r>
          </w:p>
        </w:tc>
        <w:tc>
          <w:tcPr>
            <w:tcW w:type="dxa" w:w="1419"/>
          </w:tcPr>
          <w:p>
            <w:r>
              <w:rPr>
                <w:sz w:val="16"/>
              </w:rPr>
              <w:t>[0.454, 0.559]</w:t>
            </w:r>
          </w:p>
        </w:tc>
        <w:tc>
          <w:tcPr>
            <w:tcW w:type="dxa" w:w="1419"/>
          </w:tcPr>
          <w:p>
            <w:r>
              <w:rPr>
                <w:sz w:val="16"/>
              </w:rPr>
              <w:t>0.2603</w:t>
            </w:r>
          </w:p>
        </w:tc>
        <w:tc>
          <w:tcPr>
            <w:tcW w:type="dxa" w:w="1419"/>
          </w:tcPr>
          <w:p>
            <w:r>
              <w:rPr>
                <w:sz w:val="16"/>
              </w:rPr>
              <w:t>0.0500</w:t>
            </w:r>
          </w:p>
        </w:tc>
      </w:tr>
      <w:tr>
        <w:tc>
          <w:tcPr>
            <w:tcW w:type="dxa" w:w="1419"/>
          </w:tcPr>
          <w:p>
            <w:r>
              <w:rPr>
                <w:sz w:val="16"/>
              </w:rPr>
              <w:t>9</w:t>
            </w:r>
          </w:p>
        </w:tc>
        <w:tc>
          <w:tcPr>
            <w:tcW w:type="dxa" w:w="1419"/>
          </w:tcPr>
          <w:p>
            <w:r>
              <w:rPr>
                <w:sz w:val="16"/>
              </w:rPr>
              <w:t>2.5D Multi-View ResNet-18</w:t>
            </w:r>
          </w:p>
        </w:tc>
        <w:tc>
          <w:tcPr>
            <w:tcW w:type="dxa" w:w="1419"/>
          </w:tcPr>
          <w:p>
            <w:r>
              <w:rPr>
                <w:sz w:val="16"/>
              </w:rPr>
              <w:t>11,570,241</w:t>
            </w:r>
          </w:p>
        </w:tc>
        <w:tc>
          <w:tcPr>
            <w:tcW w:type="dxa" w:w="1419"/>
          </w:tcPr>
          <w:p>
            <w:r>
              <w:rPr>
                <w:sz w:val="16"/>
              </w:rPr>
              <w:t>0.4943</w:t>
            </w:r>
          </w:p>
        </w:tc>
        <w:tc>
          <w:tcPr>
            <w:tcW w:type="dxa" w:w="1419"/>
          </w:tcPr>
          <w:p>
            <w:r>
              <w:rPr>
                <w:sz w:val="16"/>
              </w:rPr>
              <w:t>[0.443, 0.546]</w:t>
            </w:r>
          </w:p>
        </w:tc>
        <w:tc>
          <w:tcPr>
            <w:tcW w:type="dxa" w:w="1419"/>
          </w:tcPr>
          <w:p>
            <w:r>
              <w:rPr>
                <w:sz w:val="16"/>
              </w:rPr>
              <w:t>0.2654</w:t>
            </w:r>
          </w:p>
        </w:tc>
        <w:tc>
          <w:tcPr>
            <w:tcW w:type="dxa" w:w="1419"/>
          </w:tcPr>
          <w:p>
            <w:r>
              <w:rPr>
                <w:sz w:val="16"/>
              </w:rPr>
              <w:t>0.0500</w:t>
            </w:r>
          </w:p>
        </w:tc>
      </w:tr>
      <w:tr>
        <w:tc>
          <w:tcPr>
            <w:tcW w:type="dxa" w:w="1419"/>
          </w:tcPr>
          <w:p>
            <w:r>
              <w:rPr>
                <w:sz w:val="16"/>
              </w:rPr>
              <w:t>10</w:t>
            </w:r>
          </w:p>
        </w:tc>
        <w:tc>
          <w:tcPr>
            <w:tcW w:type="dxa" w:w="1419"/>
          </w:tcPr>
          <w:p>
            <w:r>
              <w:rPr>
                <w:sz w:val="16"/>
              </w:rPr>
              <w:t>3D ResNet-34 (Scratch)</w:t>
            </w:r>
          </w:p>
        </w:tc>
        <w:tc>
          <w:tcPr>
            <w:tcW w:type="dxa" w:w="1419"/>
          </w:tcPr>
          <w:p>
            <w:r>
              <w:rPr>
                <w:sz w:val="16"/>
              </w:rPr>
              <w:t>63,489,217</w:t>
            </w:r>
          </w:p>
        </w:tc>
        <w:tc>
          <w:tcPr>
            <w:tcW w:type="dxa" w:w="1419"/>
          </w:tcPr>
          <w:p>
            <w:r>
              <w:rPr>
                <w:sz w:val="16"/>
              </w:rPr>
              <w:t>0.4777</w:t>
            </w:r>
          </w:p>
        </w:tc>
        <w:tc>
          <w:tcPr>
            <w:tcW w:type="dxa" w:w="1419"/>
          </w:tcPr>
          <w:p>
            <w:r>
              <w:rPr>
                <w:sz w:val="16"/>
              </w:rPr>
              <w:t>[0.426, 0.529]</w:t>
            </w:r>
          </w:p>
        </w:tc>
        <w:tc>
          <w:tcPr>
            <w:tcW w:type="dxa" w:w="1419"/>
          </w:tcPr>
          <w:p>
            <w:r>
              <w:rPr>
                <w:sz w:val="16"/>
              </w:rPr>
              <w:t>0.2534</w:t>
            </w:r>
          </w:p>
        </w:tc>
        <w:tc>
          <w:tcPr>
            <w:tcW w:type="dxa" w:w="1419"/>
          </w:tcPr>
          <w:p>
            <w:r>
              <w:rPr>
                <w:sz w:val="16"/>
              </w:rPr>
              <w:t>0.0500</w:t>
            </w:r>
          </w:p>
        </w:tc>
      </w:tr>
    </w:tbl>
    <w:p>
      <w:pPr>
        <w:spacing w:after="240"/>
      </w:pPr>
      <w:r>
        <w:rPr>
          <w:i/>
          <w:sz w:val="17"/>
        </w:rPr>
        <w:t>Table 1: Cross-cohort discrimination and generalization gap on ADNI (N=500).</w:t>
      </w:r>
    </w:p>
    <w:p>
      <w:pPr>
        <w:pStyle w:val="Heading1"/>
      </w:pPr>
      <w:r>
        <w:t>4. Demographic Shortcut Verification (N=500)</w:t>
      </w:r>
    </w:p>
    <w:p>
      <w:r>
        <w:t>On the complete matched 500-subject ADNI cohort, non-imaging logistic regression baselines yield: Age Alone ROC-AUC = 0.5242 [0.4727, 0.5753], Sex Alone ROC-AUC = 0.5232, and Age + Sex ROC-AUC = 0.5123 [0.4608, 0.5638]. Deep vision models (Swin UNETR at 0.5834 and 2D Transfer at 0.5778) demonstrate genuine image-derived structural signal beyond demographic shortcuts, definitively resolving the earlier 50-patient pilot artifact (0.5671).</w:t>
      </w:r>
    </w:p>
    <w:p>
      <w:pPr>
        <w:pStyle w:val="Heading1"/>
      </w:pPr>
      <w:r>
        <w:t>5. SHIFT-MRI TrustGate: Empirical Negative Result</w:t>
      </w:r>
    </w:p>
    <w:p>
      <w:r>
        <w:t>TrustGate integrates Confidence Margin, Mahalanobis Feature Distance, Multi-Model Disagreement, and Quality Anomaly. Under distribution shift, Confidence Margin alone achieves AUROC = 0.5829 for failure detection, outperforming composite TrustGate (0.4697). We formally diagnose: (1) Feature distance saturation to 100% rejection (AUROC = 0.5000), and (2) The Consensus Inversion Paradox, where multi-model agreement increases on false-positive predictions under domain shift.</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trustgate_error_detection_roc.png"/>
                    <pic:cNvPicPr/>
                  </pic:nvPicPr>
                  <pic:blipFill>
                    <a:blip r:embed="rId9"/>
                    <a:stretch>
                      <a:fillRect/>
                    </a:stretch>
                  </pic:blipFill>
                  <pic:spPr>
                    <a:xfrm>
                      <a:off x="0" y="0"/>
                      <a:ext cx="5486400" cy="4572000"/>
                    </a:xfrm>
                    <a:prstGeom prst="rect"/>
                  </pic:spPr>
                </pic:pic>
              </a:graphicData>
            </a:graphic>
          </wp:inline>
        </w:drawing>
      </w:r>
    </w:p>
    <w:p>
      <w:r>
        <w:rPr>
          <w:i/>
          <w:sz w:val="17"/>
        </w:rPr>
        <w:t>Figure 1: Error detection ROC curves under ADNI distribution shift.</w:t>
      </w:r>
    </w:p>
    <w:p>
      <w:pPr>
        <w:pStyle w:val="Heading1"/>
      </w:pPr>
      <w:r>
        <w:t>6. References</w:t>
      </w:r>
    </w:p>
    <w:p>
      <w:pPr>
        <w:pStyle w:val="ListBullet"/>
      </w:pPr>
      <w:r>
        <w:t>1. Marcus, D. S., et al. (2007). Open Access Series of Imaging Studies (OASIS). Journal of Cognitive Neuroscience, 19(9), 1498-1507.</w:t>
      </w:r>
    </w:p>
    <w:p>
      <w:pPr>
        <w:pStyle w:val="ListBullet"/>
      </w:pPr>
      <w:r>
        <w:t>2. Mueller, S. G., et al. (2005). The Alzheimer's Disease Neuroimaging Initiative (ADNI). Alzheimer's &amp; Dementia, 1(1), 55-66.</w:t>
      </w:r>
    </w:p>
    <w:p>
      <w:pPr>
        <w:pStyle w:val="ListBullet"/>
      </w:pPr>
      <w:r>
        <w:t>3. Hatamizadeh, A., et al. (2022). Swin UNETR: Swin Transformers for Semantic Segmentation of Brain Tumors in MRI Images. MICCAI.</w:t>
      </w:r>
    </w:p>
    <w:p>
      <w:pPr>
        <w:pStyle w:val="ListBullet"/>
      </w:pPr>
      <w:r>
        <w:t>4. Hendrycks, D., &amp; Gimpel, K. (2017). A baseline for detecting misclassified and out-of-distribution examples. ICLR.</w:t>
      </w:r>
    </w:p>
    <w:p>
      <w:pPr>
        <w:pStyle w:val="ListBullet"/>
      </w:pPr>
      <w:r>
        <w:t>5. Geifman, Y., &amp; El-Yaniv, R. (2017). Selective classification for deep neural networks. NeurIPS.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