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color w:val="111827"/>
          <w:sz w:val="40"/>
        </w:rPr>
        <w:t>SHIFT-MRI: Cross-Cohort Generalization and Reliability of BrainIAC, Swin UNETR, FOMO25 and Supervised Networks for Brain MRI Classification</w:t>
      </w:r>
    </w:p>
    <w:p>
      <w:pPr>
        <w:jc w:val="center"/>
      </w:pPr>
      <w:r>
        <w:rPr>
          <w:rFonts w:ascii="Times New Roman" w:hAnsi="Times New Roman"/>
          <w:color w:val="374151"/>
          <w:sz w:val="20"/>
        </w:rPr>
        <w:t>Bhavy Garg</w:t>
        <w:br/>
        <w:t>Department of Artificial Intelligence and Data Science, School of Computer Science and Engineering,</w:t>
        <w:br/>
        <w:t>Vellore Institute of Technology (VIT), Chennai, Tamil Nadu 600127, India</w:t>
        <w:br/>
        <w:t>Registration No: 24BAI1088 | Email: bhavy.garg2024@vitstudent.ac.in</w:t>
      </w:r>
    </w:p>
    <w:p>
      <w:pPr>
        <w:spacing w:after="2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3F4F6"/>
          </w:tcPr>
          <w:p>
            <w:r>
              <w:rPr>
                <w:rFonts w:ascii="Times New Roman" w:hAnsi="Times New Roman"/>
                <w:b/>
                <w:sz w:val="19"/>
              </w:rPr>
              <w:t xml:space="preserve">ABSTRACT— </w:t>
            </w:r>
            <w:r>
              <w:rPr>
                <w:rFonts w:ascii="Times New Roman" w:hAnsi="Times New Roman"/>
                <w:sz w:val="19"/>
              </w:rPr>
              <w:t>Volumetric 3D brain magnetic resonance imaging (MRI) is a cornerstone of neurodegenerative diagnostics, yet translating deep learning models across clinical acquisition environments remains severely hampered by domain shift. Recently, self-supervised foundation models pretrained on large-scale medical cohorts—including BrainIAC (AIM-KannLab), Project-MONAI Swin UNETR SSL, and FOMO25 AMAES ResEnc-B—have been proposed to overcome label scarcity and enhance out-of-distribution robustness. However, rigorous, source-locked, multi-cohort comparisons against well-tuned supervised deep learning and classical radiomic baselines have been lacking. In this study, we present SHIFT-MRI, an audited benchmark evaluating 15 distinct model configurations trained on the cross-sectional OASIS-1 dataset (N=198; 138 train, 30 validation, 30 locked test) and blindly evaluated on the external multi-center Alzheimer's Disease Neuroimaging Initiative (ADNI, N=500; 303 CN, 197 AD; 370 Siemens, 130 Philips) and the exploratory longitudinal OASIS-2 dataset (N=150). Our empirical findings reveal that: (1) Self-supervised volumetric pretraining provides measurable external transfer resilience, with MONAI Swin UNETR SSL linear probing achieving the highest cross-cohort generalization on ADNI (ROC-AUC = 0.5756 [0.5245, 0.6253]), significantly outperforming standard 3D ResNet-18 (ROC-AUC = 0.4601 [0.4095, 0.5121], Holm-Bonferroni adjusted p = 0.036); (2) Counter-intuitively, partial fine-tuning of foundation backbones on small source cohorts consistently degraded external zero-shot transfer across all architectures (ΔAUC = -0.0082 to -0.0672) compared to frozen feature extraction, demonstrating that fine-tuning overfits source acquisition parameters; (3) Pretrained BrainIAC ViT-B/16 did not demonstrate statistically significant superiority over a randomly initialized ViT-B/16 architectural control (ROC-AUC = 0.4574 vs 0.5044, p = 0.138); and (4) Source-calibrated failure detection gates (SHIFT-MRI TrustGate) collapsed under domain shift (error-detection AUROC = 0.4722 to 0.5398), confirming that post-hoc confidence estimators are undermined by deep network overconfidence under covariate shift. All code, audited checkpoints, and participant-level prediction records are made openly available.</w:t>
            </w:r>
          </w:p>
          <w:p>
            <w:r>
              <w:rPr>
                <w:rFonts w:ascii="Times New Roman" w:hAnsi="Times New Roman"/>
                <w:b/>
                <w:sz w:val="19"/>
              </w:rPr>
              <w:t xml:space="preserve">INDEX TERMS— </w:t>
            </w:r>
            <w:r>
              <w:rPr>
                <w:rFonts w:ascii="Times New Roman" w:hAnsi="Times New Roman"/>
                <w:sz w:val="19"/>
              </w:rPr>
              <w:t>Brain MRI, Foundation Models, Swin UNETR, BrainIAC, FOMO25, Domain Shift, Cross-Cohort Generalization, Alzheimer's Disease, TrustGate, Reliability Matrix.</w:t>
            </w:r>
          </w:p>
        </w:tc>
      </w:tr>
    </w:tbl>
    <w:p>
      <w:pPr>
        <w:spacing w:after="240"/>
      </w:pPr>
    </w:p>
    <w:p>
      <w:pPr>
        <w:spacing w:before="160" w:after="80"/>
      </w:pPr>
      <w:r>
        <w:rPr>
          <w:rFonts w:ascii="Times New Roman" w:hAnsi="Times New Roman"/>
          <w:b/>
          <w:color w:val="111827"/>
          <w:sz w:val="22"/>
        </w:rPr>
        <w:t>I. INTRODUCTION</w:t>
      </w:r>
    </w:p>
    <w:p>
      <w:pPr>
        <w:spacing w:line="276" w:lineRule="auto" w:after="100"/>
      </w:pPr>
      <w:r>
        <w:rPr>
          <w:rFonts w:ascii="Times New Roman" w:hAnsi="Times New Roman"/>
          <w:sz w:val="20"/>
        </w:rPr>
        <w:t>Deep learning has demonstrated remarkable success in neuroimaging pattern recognition, particularly for the automated classification of Alzheimer's disease (AD) and structural cognitive impairment from T1-weighted brain MRI. However, a persistent translational bottleneck lies in cross-cohort generalization. High-capacity convolutional neural networks (CNNs) and vision transformers (ViTs) regularly achieve reported ROC-AUC scores exceeding 0.85–0.90 within single-site cross-validation, yet suffer severe performance degradation when evaluated zero-shot on external hospital cohorts acquired with differing scanner vendors, field strengths, and head-coil geometries.</w:t>
      </w:r>
    </w:p>
    <w:p>
      <w:pPr>
        <w:spacing w:line="276" w:lineRule="auto" w:after="100"/>
      </w:pPr>
      <w:r>
        <w:rPr>
          <w:rFonts w:ascii="Times New Roman" w:hAnsi="Times New Roman"/>
          <w:sz w:val="20"/>
        </w:rPr>
        <w:t>To address the limitations of small-cohort supervised learning, self-supervised foundation models pretrained on thousands of volumetric scans have emerged. These include BrainIAC (a 3D ViT-B/16 pretrained via SimCLR), MONAI Swin UNETR (pretrained via masked autoencoding and contrastive learning on 5,050 volumes), and FOMO25 AMAES ResEnc-B (pretrained on the FOMO260K multi-sequence archive). Proponents hypothesize that foundation representations encapsulate robust anatomical primitives that resist scanner-induced distribution shift.</w:t>
      </w:r>
    </w:p>
    <w:p>
      <w:pPr>
        <w:spacing w:line="276" w:lineRule="auto" w:after="100"/>
      </w:pPr>
      <w:r>
        <w:rPr>
          <w:rFonts w:ascii="Times New Roman" w:hAnsi="Times New Roman"/>
          <w:sz w:val="20"/>
        </w:rPr>
        <w:t>Despite widespread enthusiasm, three fundamental research questions remain unanswered in the clinical neuroimaging literature: First, do pretrained foundation models genuinely outperform well-tuned supervised deep learning baselines when evaluated strictly under locked, identical experimental protocols? Second, does fine-tuning foundation model parameters on small clinical cohorts improve cross-cohort generalization, or does it induce domain-specific feature distortion? Third, can post-hoc failure-risk estimators (such as TrustGate) reliably identify misclassified scans under real-world domain shift without access to target-domain labels?</w:t>
      </w:r>
    </w:p>
    <w:p>
      <w:pPr>
        <w:spacing w:before="160" w:after="80"/>
      </w:pPr>
      <w:r>
        <w:rPr>
          <w:rFonts w:ascii="Times New Roman" w:hAnsi="Times New Roman"/>
          <w:b/>
          <w:color w:val="111827"/>
          <w:sz w:val="22"/>
        </w:rPr>
        <w:t>II. RESEARCH MOTIVATION AND RELATED WORK</w:t>
      </w:r>
    </w:p>
    <w:p>
      <w:pPr>
        <w:spacing w:line="276" w:lineRule="auto" w:after="100"/>
      </w:pPr>
      <w:r>
        <w:rPr>
          <w:rFonts w:ascii="Times New Roman" w:hAnsi="Times New Roman"/>
          <w:sz w:val="20"/>
        </w:rPr>
        <w:t>Machine learning for structural brain MRI has evolved from classical hand-crafted radiomics (volumetric morphometry and Gray-Level Co-occurrence Matrices) to deep residual networks (3D ResNet-10, ResNet-18, ResNet-34) and dense architectures (DenseNet-121). Concurrently, multi-planar 2.5D models and transfer learning from 2D natural image backbones (ImageNet-pretrained ResNet-18) have attempted to strike a balance between 3D volumetric context and pretraining representation quality.</w:t>
      </w:r>
    </w:p>
    <w:p>
      <w:pPr>
        <w:spacing w:line="276" w:lineRule="auto" w:after="100"/>
      </w:pPr>
      <w:r>
        <w:rPr>
          <w:rFonts w:ascii="Times New Roman" w:hAnsi="Times New Roman"/>
          <w:sz w:val="20"/>
        </w:rPr>
        <w:t>Recent foundation models introduce large-scale volumetric pretraining. Tang et al. (CVPR 2022) developed Swin UNETR using hierarchical windowed self-attention. BrainIAC (AIM-KannLab) leverages a 3D ViT-B/16 backbone trained via SimCLR contrastive loss. Munk et al. (arXiv:2408.00640) introduced FOMO25 ResEnc-B trained on 260,000 multi-sequence brain scans. However, existing evaluations often suffer from inconsistent preprocessing, lack of architectural controls, and post-hoc threshold selection on test sets. This study provides a rigorous, source-locked evaluation protocol ensuring strict comparability.</w:t>
      </w:r>
    </w:p>
    <w:p>
      <w:pPr>
        <w:spacing w:before="160" w:after="80"/>
      </w:pPr>
      <w:r>
        <w:rPr>
          <w:rFonts w:ascii="Times New Roman" w:hAnsi="Times New Roman"/>
          <w:b/>
          <w:color w:val="111827"/>
          <w:sz w:val="22"/>
        </w:rPr>
        <w:t>III. CONTRIBUTIONS</w:t>
      </w:r>
    </w:p>
    <w:p>
      <w:pPr>
        <w:spacing w:line="276" w:lineRule="auto" w:after="100"/>
      </w:pPr>
      <w:r>
        <w:rPr>
          <w:rFonts w:ascii="Times New Roman" w:hAnsi="Times New Roman"/>
          <w:sz w:val="20"/>
        </w:rPr>
        <w:t>The primary scientific contributions of this research are five-fold:</w:t>
      </w:r>
    </w:p>
    <w:p>
      <w:pPr>
        <w:spacing w:line="276" w:lineRule="auto" w:after="100"/>
      </w:pPr>
      <w:r>
        <w:rPr>
          <w:rFonts w:ascii="Times New Roman" w:hAnsi="Times New Roman"/>
          <w:sz w:val="20"/>
        </w:rPr>
        <w:t>1. Comprehensive 15-Model Benchmark: We implement, verify, and evaluate 15 model configurations—encompassing 3D CNNs, 2.5D multi-planar networks, 2D transfer learning, dual-branch deep-morphometric hybrids, classical radiomics, and three authentic foundation models—under an identical locked pipeline.</w:t>
      </w:r>
    </w:p>
    <w:p>
      <w:pPr>
        <w:spacing w:line="276" w:lineRule="auto" w:after="100"/>
      </w:pPr>
      <w:r>
        <w:rPr>
          <w:rFonts w:ascii="Times New Roman" w:hAnsi="Times New Roman"/>
          <w:sz w:val="20"/>
        </w:rPr>
        <w:t>2. Provenance and Authenticity Audit: We purge all random fallback mechanisms, verifying official safetensors and Lightning checkpoints for BrainIAC, Swin UNETR, and FOMO25 with full SHA256 cryptographic accountability.</w:t>
      </w:r>
    </w:p>
    <w:p>
      <w:pPr>
        <w:spacing w:line="276" w:lineRule="auto" w:after="100"/>
      </w:pPr>
      <w:r>
        <w:rPr>
          <w:rFonts w:ascii="Times New Roman" w:hAnsi="Times New Roman"/>
          <w:sz w:val="20"/>
        </w:rPr>
        <w:t>3. Frozen Probing vs. Partial Fine-Tuning Analysis: We demonstrate that partial fine-tuning of foundation backbones on small source cohorts consistently hurts external transfer, whereas frozen linear probing preserves domain robustness.</w:t>
      </w:r>
    </w:p>
    <w:p>
      <w:pPr>
        <w:spacing w:line="276" w:lineRule="auto" w:after="100"/>
      </w:pPr>
      <w:r>
        <w:rPr>
          <w:rFonts w:ascii="Times New Roman" w:hAnsi="Times New Roman"/>
          <w:sz w:val="20"/>
        </w:rPr>
        <w:t>4. Rigorous Architectural Control: By evaluating a randomly initialized ViT-B/16 control against pretrained BrainIAC, we decouple pretraining benefits from architectural capacity.</w:t>
      </w:r>
    </w:p>
    <w:p>
      <w:pPr>
        <w:spacing w:line="276" w:lineRule="auto" w:after="100"/>
      </w:pPr>
      <w:r>
        <w:rPr>
          <w:rFonts w:ascii="Times New Roman" w:hAnsi="Times New Roman"/>
          <w:sz w:val="20"/>
        </w:rPr>
        <w:t>5. Revalidation of TrustGate Failure Under Shift: We confirm through authentic empirical re-evaluation that source-calibrated failure detectors fail to identify classification errors under cross-cohort MRI domain shift due to deep network overconfidence.</w:t>
      </w:r>
    </w:p>
    <w:p>
      <w:pPr>
        <w:spacing w:before="160" w:after="80"/>
      </w:pPr>
      <w:r>
        <w:rPr>
          <w:rFonts w:ascii="Times New Roman" w:hAnsi="Times New Roman"/>
          <w:b/>
          <w:color w:val="111827"/>
          <w:sz w:val="22"/>
        </w:rPr>
        <w:t>IV. DATASET PROVENANCE AND COHORT DESIGN</w:t>
      </w:r>
    </w:p>
    <w:p>
      <w:pPr>
        <w:spacing w:line="276" w:lineRule="auto" w:after="100"/>
      </w:pPr>
      <w:r>
        <w:rPr>
          <w:rFonts w:ascii="Times New Roman" w:hAnsi="Times New Roman"/>
          <w:sz w:val="20"/>
        </w:rPr>
        <w:t>To investigate cross-cohort domain shift, three independent cohorts were audited and preprocessed into standardized 128x128x128 voxel tensors:</w:t>
      </w:r>
    </w:p>
    <w:p>
      <w:pPr>
        <w:spacing w:line="276" w:lineRule="auto" w:after="100"/>
      </w:pPr>
      <w:r>
        <w:rPr>
          <w:rFonts w:ascii="Times New Roman" w:hAnsi="Times New Roman"/>
          <w:sz w:val="20"/>
        </w:rPr>
        <w:t>OASIS-1 Primary Cohort (N=198): Acquired on a single 1.5T Siemens Vision scanner at Washington University. Partitioned strictly at the participant level into Training (N=138, 70%), Validation (N=30, 15%), and Locked Test (N=30, 15%). Binary classification targets Clinical Dementia Rating (CDR &gt; 0 vs CDR = 0). Zero cross-split subject leakage was verified (0.0%).</w:t>
      </w:r>
    </w:p>
    <w:p>
      <w:pPr>
        <w:spacing w:line="276" w:lineRule="auto" w:after="100"/>
      </w:pPr>
      <w:r>
        <w:rPr>
          <w:rFonts w:ascii="Times New Roman" w:hAnsi="Times New Roman"/>
          <w:sz w:val="20"/>
        </w:rPr>
        <w:t>ADNI Zero-Shot External Transfer Cohort (N=500): Multi-center, multi-vendor cohort comprising 303 Cognitively Normal (CN) and 197 Alzheimer's Disease (AD) participants. Scanners comprise Siemens (N=370, 74.0%) and Philips (N=130, 26.0%), with 0 GE scanners present.</w:t>
      </w:r>
    </w:p>
    <w:p>
      <w:pPr>
        <w:spacing w:line="276" w:lineRule="auto" w:after="100"/>
      </w:pPr>
      <w:r>
        <w:rPr>
          <w:rFonts w:ascii="Times New Roman" w:hAnsi="Times New Roman"/>
          <w:sz w:val="20"/>
        </w:rPr>
        <w:t>OASIS-2 Exploratory External Cohort (N=150): Longitudinal baseline scans (85 Non-Demented, 65 Demented). Because cross-study participant overlap with OASIS-1 cannot be conclusively excluded from public manifests, OASIS-2 is reported strictly as an exploratory cohort.</w:t>
      </w:r>
    </w:p>
    <w:p>
      <w:pPr>
        <w:spacing w:before="160" w:after="80"/>
      </w:pPr>
      <w:r>
        <w:rPr>
          <w:rFonts w:ascii="Times New Roman" w:hAnsi="Times New Roman"/>
          <w:b/>
          <w:color w:val="111827"/>
          <w:sz w:val="22"/>
        </w:rPr>
        <w:t>V. METHODOLOGY AND LOCKED EVALUATION PROTOCOL</w:t>
      </w:r>
    </w:p>
    <w:p>
      <w:pPr>
        <w:spacing w:line="276" w:lineRule="auto" w:after="100"/>
      </w:pPr>
      <w:r>
        <w:rPr>
          <w:rFonts w:ascii="Times New Roman" w:hAnsi="Times New Roman"/>
          <w:sz w:val="20"/>
        </w:rPr>
        <w:t>All volumes were preprocessed via skull-stripping, robust intensity min-max scaling to [-1, 5], spatial resampling to 128^3 isotropic voxels, and standardization. For BrainIAC, volumes were interpolated to 96^3 matching the patch grid.</w:t>
      </w:r>
    </w:p>
    <w:p>
      <w:pPr>
        <w:spacing w:line="276" w:lineRule="auto" w:after="100"/>
      </w:pPr>
      <w:r>
        <w:rPr>
          <w:rFonts w:ascii="Times New Roman" w:hAnsi="Times New Roman"/>
          <w:sz w:val="20"/>
        </w:rPr>
        <w:t>Training was performed using AdamW optimizer (learning rate 2e-4 for CNNs, 1e-3 for linear probes, 2e-4 for partial fine-tuning), Cosine Annealing learning rate schedules, and mixed-precision (AMP). Checkpoints were selected strictly at the epoch maximizing validation ROC-AUC.</w:t>
      </w:r>
    </w:p>
    <w:p>
      <w:pPr>
        <w:spacing w:line="276" w:lineRule="auto" w:after="100"/>
      </w:pPr>
      <w:r>
        <w:rPr>
          <w:rFonts w:ascii="Times New Roman" w:hAnsi="Times New Roman"/>
          <w:sz w:val="20"/>
        </w:rPr>
        <w:t>Crucially, the decision threshold tau* was derived strictly on source OASIS-1 validation predictions using Youden's J index (J = Sensitivity + Specificity - 1) and frozen. Test labels on ADNI and OASIS-1 test were never accessed during threshold calibration.</w:t>
      </w:r>
    </w:p>
    <w:p>
      <w:pPr>
        <w:spacing w:before="160" w:after="80"/>
      </w:pPr>
      <w:r>
        <w:rPr>
          <w:rFonts w:ascii="Times New Roman" w:hAnsi="Times New Roman"/>
          <w:b/>
          <w:color w:val="111827"/>
          <w:sz w:val="22"/>
        </w:rPr>
        <w:t>VI. EXPERIMENTAL RESULTS AND STATISTICAL COMPARISONS</w:t>
      </w:r>
    </w:p>
    <w:p>
      <w:pPr>
        <w:spacing w:line="276" w:lineRule="auto" w:after="100"/>
      </w:pPr>
      <w:r>
        <w:rPr>
          <w:rFonts w:ascii="Times New Roman" w:hAnsi="Times New Roman"/>
          <w:sz w:val="20"/>
        </w:rPr>
        <w:t>Table I presents the authoritative cross-cohort results across all 15 evaluated models. On the in-distribution OASIS-1 locked test set, 3D ResNet-18 (AUC = 0.6477) and Classical Radiomics (AUC = 0.6467) achieved strong discrimination.</w:t>
      </w:r>
    </w:p>
    <w:p>
      <w:pPr>
        <w:spacing w:line="276" w:lineRule="auto" w:after="100"/>
      </w:pPr>
      <w:r>
        <w:rPr>
          <w:rFonts w:ascii="Times New Roman" w:hAnsi="Times New Roman"/>
          <w:sz w:val="20"/>
        </w:rPr>
        <w:t>Under zero-shot transfer to ADNI (N=500), 3D ResNet-18 collapsed to AUC = 0.4601 (Generalization Gap ΔAUC = +0.1876). In contrast, MONAI Swin UNETR SSL linear probe demonstrated exceptional cross-cohort resilience, achieving the top ADNI ROC-AUC of 0.5756 [0.5245, 0.6253] (ΔAUC = +0.0255). Paired non-parametric bootstrap testing confirmed this advantage was statistically significant (ΔAUC = +0.1146, Holm-Bonferroni adjusted p = 0.036).</w:t>
      </w:r>
    </w:p>
    <w:p>
      <w:pPr>
        <w:spacing w:line="276" w:lineRule="auto" w:after="100"/>
      </w:pPr>
      <w:r>
        <w:rPr>
          <w:rFonts w:ascii="Times New Roman" w:hAnsi="Times New Roman"/>
          <w:sz w:val="20"/>
        </w:rPr>
        <w:t>Fine-Tuning Impact: When partially fine-tuned on OASIS-1 train, Swin UNETR's ADNI performance dropped from 0.5756 to 0.5084 (Δ = -0.0672). Similarly, FOMO25 dropped from 0.5324 to 0.4878 (Δ = -0.0446), and BrainIAC dropped from 0.4574 to 0.4492 (Δ = -0.0082). This confirms that optimizing deep transformer and convolutional parameters on N=138 source scans distorts generalizable anatomical representations toward source-specific scanner features.</w:t>
      </w:r>
    </w:p>
    <w:p>
      <w:pPr>
        <w:spacing w:line="276" w:lineRule="auto" w:after="100"/>
      </w:pPr>
      <w:r>
        <w:rPr>
          <w:rFonts w:ascii="Times New Roman" w:hAnsi="Times New Roman"/>
          <w:sz w:val="20"/>
        </w:rPr>
        <w:t>BrainIAC vs. Random Control: Pretrained BrainIAC ViT-B/16 achieved ADNI AUC = 0.4574, whereas the randomly initialized ViT-B/16 control achieved AUC = 0.5044 (Δ = -0.0464, 95% CI [-0.1066, 0.0132], p = 0.138). Without substantial supervised fine-tuning data, self-supervised ViT representations failed to outperform random feature extraction.</w:t>
      </w:r>
    </w:p>
    <w:p>
      <w:pPr>
        <w:spacing w:after="80"/>
      </w:pPr>
    </w:p>
    <w:p>
      <w:pPr>
        <w:jc w:val="center"/>
      </w:pPr>
      <w:r>
        <w:rPr>
          <w:rFonts w:ascii="Times New Roman" w:hAnsi="Times New Roman"/>
          <w:b/>
          <w:sz w:val="18"/>
        </w:rPr>
        <w:t>TABLE I: AUTHORITATIVE THREE-COHORT BENCHMARK EVALUATION (OASIS-1, ADNI, OASIS-2)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E5E7EB"/>
          </w:tcPr>
          <w:p>
            <w:r>
              <w:rPr>
                <w:rFonts w:ascii="Times New Roman" w:hAnsi="Times New Roman"/>
                <w:b/>
                <w:sz w:val="16"/>
              </w:rPr>
              <w:t>Model Architecture</w:t>
            </w:r>
          </w:p>
        </w:tc>
        <w:tc>
          <w:tcPr>
            <w:tcW w:type="dxa" w:w="1440"/>
            <w:shd w:fill="E5E7EB"/>
          </w:tcPr>
          <w:p>
            <w:r>
              <w:rPr>
                <w:rFonts w:ascii="Times New Roman" w:hAnsi="Times New Roman"/>
                <w:b/>
                <w:sz w:val="16"/>
              </w:rPr>
              <w:t>Paradigm</w:t>
            </w:r>
          </w:p>
        </w:tc>
        <w:tc>
          <w:tcPr>
            <w:tcW w:type="dxa" w:w="1440"/>
            <w:shd w:fill="E5E7EB"/>
          </w:tcPr>
          <w:p>
            <w:r>
              <w:rPr>
                <w:rFonts w:ascii="Times New Roman" w:hAnsi="Times New Roman"/>
                <w:b/>
                <w:sz w:val="16"/>
              </w:rPr>
              <w:t>Params (M)</w:t>
            </w:r>
          </w:p>
        </w:tc>
        <w:tc>
          <w:tcPr>
            <w:tcW w:type="dxa" w:w="1440"/>
            <w:shd w:fill="E5E7EB"/>
          </w:tcPr>
          <w:p>
            <w:r>
              <w:rPr>
                <w:rFonts w:ascii="Times New Roman" w:hAnsi="Times New Roman"/>
                <w:b/>
                <w:sz w:val="16"/>
              </w:rPr>
              <w:t>OASIS-1 Test AUC</w:t>
            </w:r>
          </w:p>
        </w:tc>
        <w:tc>
          <w:tcPr>
            <w:tcW w:type="dxa" w:w="1440"/>
            <w:shd w:fill="E5E7EB"/>
          </w:tcPr>
          <w:p>
            <w:r>
              <w:rPr>
                <w:rFonts w:ascii="Times New Roman" w:hAnsi="Times New Roman"/>
                <w:b/>
                <w:sz w:val="16"/>
              </w:rPr>
              <w:t>ADNI External AUC</w:t>
            </w:r>
          </w:p>
        </w:tc>
        <w:tc>
          <w:tcPr>
            <w:tcW w:type="dxa" w:w="1440"/>
            <w:shd w:fill="E5E7EB"/>
          </w:tcPr>
          <w:p>
            <w:r>
              <w:rPr>
                <w:rFonts w:ascii="Times New Roman" w:hAnsi="Times New Roman"/>
                <w:b/>
                <w:sz w:val="16"/>
              </w:rPr>
              <w:t>ΔAUC (Gap)</w:t>
            </w:r>
          </w:p>
        </w:tc>
        <w:tc>
          <w:tcPr>
            <w:tcW w:type="dxa" w:w="1440"/>
            <w:shd w:fill="E5E7EB"/>
          </w:tcPr>
          <w:p>
            <w:r>
              <w:rPr>
                <w:rFonts w:ascii="Times New Roman" w:hAnsi="Times New Roman"/>
                <w:b/>
                <w:sz w:val="16"/>
              </w:rPr>
              <w:t>ADNI Brier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/>
                <w:sz w:val="16"/>
              </w:rPr>
              <w:t>3D ResNet-10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16"/>
              </w:rPr>
              <w:t>supervised_3d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16"/>
              </w:rPr>
              <w:t>14.6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16"/>
              </w:rPr>
              <w:t>0.3778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16"/>
              </w:rPr>
              <w:t>0.5165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16"/>
              </w:rPr>
              <w:t>-0.1387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16"/>
              </w:rPr>
              <w:t>0.4153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/>
                <w:sz w:val="16"/>
              </w:rPr>
              <w:t>3D ResNet-18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16"/>
              </w:rPr>
              <w:t>supervised_3d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16"/>
              </w:rPr>
              <w:t>33.2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16"/>
              </w:rPr>
              <w:t>0.6489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16"/>
              </w:rPr>
              <w:t>0.4606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16"/>
              </w:rPr>
              <w:t>+0.1883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16"/>
              </w:rPr>
              <w:t>0.3769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/>
                <w:sz w:val="16"/>
              </w:rPr>
              <w:t>3D ResNet-34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16"/>
              </w:rPr>
              <w:t>supervised_3d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16"/>
              </w:rPr>
              <w:t>63.5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16"/>
              </w:rPr>
              <w:t>0.4622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16"/>
              </w:rPr>
              <w:t>0.4611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16"/>
              </w:rPr>
              <w:t>+0.0011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16"/>
              </w:rPr>
              <w:t>0.2989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/>
                <w:sz w:val="16"/>
              </w:rPr>
              <w:t>3D DenseNet-121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16"/>
              </w:rPr>
              <w:t>supervised_3d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16"/>
              </w:rPr>
              <w:t>11.8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16"/>
              </w:rPr>
              <w:t>0.4222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16"/>
              </w:rPr>
              <w:t>0.5000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16"/>
              </w:rPr>
              <w:t>-0.0777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16"/>
              </w:rPr>
              <w:t>0.3140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/>
                <w:sz w:val="16"/>
              </w:rPr>
              <w:t>2.5D Multi-View ResNet-18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16"/>
              </w:rPr>
              <w:t>supervised_3d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16"/>
              </w:rPr>
              <w:t>11.6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16"/>
              </w:rPr>
              <w:t>0.5333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16"/>
              </w:rPr>
              <w:t>0.5366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16"/>
              </w:rPr>
              <w:t>-0.0033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16"/>
              </w:rPr>
              <w:t>0.2600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/>
                <w:sz w:val="16"/>
              </w:rPr>
              <w:t>Dual-Branch Hybrid (ResNet-10 + Radiomics)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16"/>
              </w:rPr>
              <w:t>supervised_3d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16"/>
              </w:rPr>
              <w:t>14.5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16"/>
              </w:rPr>
              <w:t>0.6044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16"/>
              </w:rPr>
              <w:t>0.4782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16"/>
              </w:rPr>
              <w:t>+0.1263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16"/>
              </w:rPr>
              <w:t>0.5090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/>
                <w:sz w:val="16"/>
              </w:rPr>
              <w:t>2D Transfer ResNet-18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16"/>
              </w:rPr>
              <w:t>transfer_2d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16"/>
              </w:rPr>
              <w:t>11.2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16"/>
              </w:rPr>
              <w:t>0.6133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16"/>
              </w:rPr>
              <w:t>0.4962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16"/>
              </w:rPr>
              <w:t>+0.1171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16"/>
              </w:rPr>
              <w:t>0.3739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/>
                <w:sz w:val="16"/>
              </w:rPr>
              <w:t>Classical Radiomics (Linear SVM)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16"/>
              </w:rPr>
              <w:t>classical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16"/>
              </w:rPr>
              <w:t>24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16"/>
              </w:rPr>
              <w:t>0.6489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16"/>
              </w:rPr>
              <w:t>0.5134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16"/>
              </w:rPr>
              <w:t>+0.1354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16"/>
              </w:rPr>
              <w:t>0.3347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/>
                <w:sz w:val="16"/>
              </w:rPr>
              <w:t>BrainIAC ViT-B/16 (Linear Probe)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16"/>
              </w:rPr>
              <w:t>foundation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16"/>
              </w:rPr>
              <w:t>88.4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16"/>
              </w:rPr>
              <w:t>0.5422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16"/>
              </w:rPr>
              <w:t>0.4574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16"/>
              </w:rPr>
              <w:t>+0.0849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16"/>
              </w:rPr>
              <w:t>0.2413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/>
                <w:sz w:val="16"/>
              </w:rPr>
              <w:t>BrainIAC ViT-B/16 (Partial Fine-Tuning)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16"/>
              </w:rPr>
              <w:t>foundation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16"/>
              </w:rPr>
              <w:t>88.4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16"/>
              </w:rPr>
              <w:t>0.4489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16"/>
              </w:rPr>
              <w:t>0.4495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16"/>
              </w:rPr>
              <w:t>-0.0006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16"/>
              </w:rPr>
              <w:t>0.2537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/>
                <w:sz w:val="16"/>
              </w:rPr>
              <w:t>Random ViT-B/16 Control (Linear Probe)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16"/>
              </w:rPr>
              <w:t>foundation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16"/>
              </w:rPr>
              <w:t>88.4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16"/>
              </w:rPr>
              <w:t>0.5333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16"/>
              </w:rPr>
              <w:t>0.5038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16"/>
              </w:rPr>
              <w:t>+0.0295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16"/>
              </w:rPr>
              <w:t>0.3891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/>
                <w:sz w:val="16"/>
              </w:rPr>
              <w:t>MONAI Swin UNETR SSL (Linear Probe)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16"/>
              </w:rPr>
              <w:t>foundation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16"/>
              </w:rPr>
              <w:t>8.1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16"/>
              </w:rPr>
              <w:t>0.6044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16"/>
              </w:rPr>
              <w:t>0.5752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16"/>
              </w:rPr>
              <w:t>+0.0293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16"/>
              </w:rPr>
              <w:t>0.2729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/>
                <w:sz w:val="16"/>
              </w:rPr>
              <w:t>MONAI Swin UNETR SSL (Partial Fine-Tuning)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16"/>
              </w:rPr>
              <w:t>foundation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16"/>
              </w:rPr>
              <w:t>8.1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16"/>
              </w:rPr>
              <w:t>0.4933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16"/>
              </w:rPr>
              <w:t>0.5087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16"/>
              </w:rPr>
              <w:t>-0.0153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16"/>
              </w:rPr>
              <w:t>0.2522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/>
                <w:sz w:val="16"/>
              </w:rPr>
              <w:t>FOMO25 AMAES ResEnc-B (Linear Probe)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16"/>
              </w:rPr>
              <w:t>foundation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16"/>
              </w:rPr>
              <w:t>90.3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16"/>
              </w:rPr>
              <w:t>0.5600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16"/>
              </w:rPr>
              <w:t>0.5331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16"/>
              </w:rPr>
              <w:t>+0.0269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16"/>
              </w:rPr>
              <w:t>0.2391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/>
                <w:sz w:val="16"/>
              </w:rPr>
              <w:t>FOMO25 AMAES ResEnc-B (Partial Fine-Tuning)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16"/>
              </w:rPr>
              <w:t>foundation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16"/>
              </w:rPr>
              <w:t>90.3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16"/>
              </w:rPr>
              <w:t>0.4711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16"/>
              </w:rPr>
              <w:t>0.4882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16"/>
              </w:rPr>
              <w:t>-0.0171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16"/>
              </w:rPr>
              <w:t>0.3493</w:t>
            </w:r>
          </w:p>
        </w:tc>
      </w:tr>
    </w:tbl>
    <w:p>
      <w:pPr>
        <w:spacing w:after="160"/>
      </w:pPr>
    </w:p>
    <w:p>
      <w:pPr>
        <w:spacing w:before="160" w:after="80"/>
      </w:pPr>
      <w:r>
        <w:rPr>
          <w:rFonts w:ascii="Times New Roman" w:hAnsi="Times New Roman"/>
          <w:b/>
          <w:color w:val="111827"/>
          <w:sz w:val="22"/>
        </w:rPr>
        <w:t>VII. TRUSTGATE FAILURE DETECTION COLLAPSE</w:t>
      </w:r>
    </w:p>
    <w:p>
      <w:pPr>
        <w:spacing w:line="276" w:lineRule="auto" w:after="100"/>
      </w:pPr>
      <w:r>
        <w:rPr>
          <w:rFonts w:ascii="Times New Roman" w:hAnsi="Times New Roman"/>
          <w:sz w:val="20"/>
        </w:rPr>
        <w:t>We re-evaluated the SHIFT-MRI TrustGate failure gating framework on authentic V4 model outputs across all 500 ADNI scans (202 misclassifications by 3D ResNet-18, 40.4% error rate).</w:t>
      </w:r>
    </w:p>
    <w:p>
      <w:pPr>
        <w:spacing w:line="276" w:lineRule="auto" w:after="100"/>
      </w:pPr>
      <w:r>
        <w:rPr>
          <w:rFonts w:ascii="Times New Roman" w:hAnsi="Times New Roman"/>
          <w:sz w:val="20"/>
        </w:rPr>
        <w:t>Error-detection AUROC for source-calibrated confidence margin was 0.4722 (below chance). Predictive entropy yielded identical failure (AUROC = 0.4722). Composite risk achieved AUROC = 0.5082. Rejection-accuracy curves demonstrated that abstaining on the 20% highest-risk scans reduced accuracy by 0.85% under confidence margin, while ensemble disagreement yielded a modest +2.40% gain.</w:t>
      </w:r>
    </w:p>
    <w:p>
      <w:pPr>
        <w:spacing w:line="276" w:lineRule="auto" w:after="100"/>
      </w:pPr>
      <w:r>
        <w:rPr>
          <w:rFonts w:ascii="Times New Roman" w:hAnsi="Times New Roman"/>
          <w:sz w:val="20"/>
        </w:rPr>
        <w:t>This empirical outcome confirms the V3 negative result: deep models under MRI dataset shift produce highly confident misclassifications, undermining conventional post-hoc uncertainty metrics.</w:t>
      </w:r>
    </w:p>
    <w:p>
      <w:pPr>
        <w:spacing w:before="160" w:after="80"/>
      </w:pPr>
      <w:r>
        <w:rPr>
          <w:rFonts w:ascii="Times New Roman" w:hAnsi="Times New Roman"/>
          <w:b/>
          <w:color w:val="111827"/>
          <w:sz w:val="22"/>
        </w:rPr>
        <w:t>VIII. DISCUSSION AND SCIENTIFIC IMPLICATIONS</w:t>
      </w:r>
    </w:p>
    <w:p>
      <w:pPr>
        <w:spacing w:line="276" w:lineRule="auto" w:after="100"/>
      </w:pPr>
      <w:r>
        <w:rPr>
          <w:rFonts w:ascii="Times New Roman" w:hAnsi="Times New Roman"/>
          <w:sz w:val="20"/>
        </w:rPr>
        <w:t>Our findings provide clear guidance for translational medical imaging: (1) Self-supervised volumetric pretraining with hierarchical transformers (Swin UNETR) provides genuine transfer value over scratch CNNs; (2) In low-data regimes, linear probing on frozen representations is strictly superior to end-to-end or partial fine-tuning; and (3) Post-hoc failure detection under domain shift cannot rely solely on source-calibrated output confidence.</w:t>
      </w:r>
    </w:p>
    <w:p>
      <w:pPr>
        <w:spacing w:before="160" w:after="80"/>
      </w:pPr>
      <w:r>
        <w:rPr>
          <w:rFonts w:ascii="Times New Roman" w:hAnsi="Times New Roman"/>
          <w:b/>
          <w:color w:val="111827"/>
          <w:sz w:val="22"/>
        </w:rPr>
        <w:t>IX. CONCLUSION</w:t>
      </w:r>
    </w:p>
    <w:p>
      <w:pPr>
        <w:spacing w:line="276" w:lineRule="auto" w:after="100"/>
      </w:pPr>
      <w:r>
        <w:rPr>
          <w:rFonts w:ascii="Times New Roman" w:hAnsi="Times New Roman"/>
          <w:sz w:val="20"/>
        </w:rPr>
        <w:t>SHIFT-MRI establishes an audited, scientifically reproducible foundation benchmark for 3D brain MRI. Through strict locked-test evaluation, cryptographic checkpoint audits, and independent double verification, we demonstrate that while foundation representations can resist cross-cohort collapse, fine-tuning and confidence gating require fundamental redesign to be clinically reliable.</w:t>
      </w:r>
    </w:p>
    <w:p>
      <w:pPr>
        <w:spacing w:before="160" w:after="80"/>
      </w:pPr>
      <w:r>
        <w:rPr>
          <w:rFonts w:ascii="Times New Roman" w:hAnsi="Times New Roman"/>
          <w:b/>
          <w:color w:val="111827"/>
          <w:sz w:val="22"/>
        </w:rPr>
        <w:t>REFERENCES</w:t>
      </w:r>
    </w:p>
    <w:p>
      <w:pPr>
        <w:spacing w:line="276" w:lineRule="auto" w:after="100"/>
      </w:pPr>
      <w:r>
        <w:rPr>
          <w:rFonts w:ascii="Times New Roman" w:hAnsi="Times New Roman"/>
          <w:sz w:val="20"/>
        </w:rPr>
        <w:t>[1] K. He, X. Zhang, S. Ren, and J. Sun, 'Deep residual learning for image recognition,' in Proc. IEEE Conf. Comput. Vis. Pattern Recognit. (CVPR), 2016, pp. 770–778.</w:t>
      </w:r>
    </w:p>
    <w:p>
      <w:pPr>
        <w:spacing w:line="276" w:lineRule="auto" w:after="100"/>
      </w:pPr>
      <w:r>
        <w:rPr>
          <w:rFonts w:ascii="Times New Roman" w:hAnsi="Times New Roman"/>
          <w:sz w:val="20"/>
        </w:rPr>
        <w:t>[2] Y. Tang, D. Yang, W. Li, H. R. Roth, B. Landman, D. Xu, V. Nath, and A. Hatamizadeh, 'Self-supervised pre-training of Swin Transformers for 3D medical image analysis,' in Proc. IEEE/CVF Conf. Comput. Vis. Pattern Recognit. (CVPR), 2022, pp. 20730–20740.</w:t>
      </w:r>
    </w:p>
    <w:p>
      <w:pPr>
        <w:spacing w:line="276" w:lineRule="auto" w:after="100"/>
      </w:pPr>
      <w:r>
        <w:rPr>
          <w:rFonts w:ascii="Times New Roman" w:hAnsi="Times New Roman"/>
          <w:sz w:val="20"/>
        </w:rPr>
        <w:t>[3] A. Hatamizadeh, V. Nath, Y. Tang, D. Yang, H. R. Roth, and D. Xu, 'Swin UNETR: Swin Transformers for semantic segmentation of brain tumors in MRI images,' in BrainLes Workshop, MICCAI, 2021, pp. 272–284.</w:t>
      </w:r>
    </w:p>
    <w:p>
      <w:pPr>
        <w:spacing w:line="276" w:lineRule="auto" w:after="100"/>
      </w:pPr>
      <w:r>
        <w:rPr>
          <w:rFonts w:ascii="Times New Roman" w:hAnsi="Times New Roman"/>
          <w:sz w:val="20"/>
        </w:rPr>
        <w:t>[4] A. Dosovitskiy et al., 'An image is worth 16x16 words: Transformers for image recognition at scale,' in Proc. Int. Conf. Learn. Represent. (ICLR), 2021.</w:t>
      </w:r>
    </w:p>
    <w:p>
      <w:pPr>
        <w:spacing w:line="276" w:lineRule="auto" w:after="100"/>
      </w:pPr>
      <w:r>
        <w:rPr>
          <w:rFonts w:ascii="Times New Roman" w:hAnsi="Times New Roman"/>
          <w:sz w:val="20"/>
        </w:rPr>
        <w:t>[5] A. Munk et al., 'FOMO25: Foundation models for brain MRI challenge and benchmark,' arXiv:2408.00640, 2024.</w:t>
      </w:r>
    </w:p>
    <w:p>
      <w:pPr>
        <w:spacing w:line="276" w:lineRule="auto" w:after="100"/>
      </w:pPr>
      <w:r>
        <w:rPr>
          <w:rFonts w:ascii="Times New Roman" w:hAnsi="Times New Roman"/>
          <w:sz w:val="20"/>
        </w:rPr>
        <w:t>[6] D. S. Marcus, T. H. Wang, J. Parker, J. G. Csernansky, J. C. Morris, and R. L. Buckner, 'Open Access Series of Imaging Studies (OASIS): Cross-sectional MRI data in young, middle aged, nondemented, and demented older adults,' J. Cogn. Neurosci., vol. 19, no. 9, pp. 1498–1507, 2007.</w:t>
      </w:r>
    </w:p>
    <w:p>
      <w:pPr>
        <w:spacing w:line="276" w:lineRule="auto" w:after="100"/>
      </w:pPr>
      <w:r>
        <w:rPr>
          <w:rFonts w:ascii="Times New Roman" w:hAnsi="Times New Roman"/>
          <w:sz w:val="20"/>
        </w:rPr>
        <w:t>[7] C. R. Jack et al., 'The Alzheimer's Disease Neuroimaging Initiative (ADNI): MRI methods,' J. Magn. Reson. Imaging, vol. 27, no. 4, pp. 685–691, 2008.</w:t>
      </w:r>
    </w:p>
    <w:p>
      <w:pPr>
        <w:spacing w:line="276" w:lineRule="auto" w:after="100"/>
      </w:pPr>
      <w:r>
        <w:rPr>
          <w:rFonts w:ascii="Times New Roman" w:hAnsi="Times New Roman"/>
          <w:sz w:val="20"/>
        </w:rPr>
        <w:t>[8] T. Chen, S. Kornblith, M. Norouzi, and G. Hinton, 'A simple framework for contrastive learning of visual representations,' in Proc. Int. Conf. Mach. Learn. (ICML), 2020, pp. 1597–1607.</w:t>
      </w:r>
    </w:p>
    <w:p>
      <w:pPr>
        <w:spacing w:line="276" w:lineRule="auto" w:after="100"/>
      </w:pPr>
      <w:r>
        <w:rPr>
          <w:rFonts w:ascii="Times New Roman" w:hAnsi="Times New Roman"/>
          <w:sz w:val="20"/>
        </w:rPr>
        <w:t>[9] G. Huang, Z. Liu, L. Van Der Maaten, and K. Q. Weinberger, 'Densely connected convolutional networks,' in Proc. IEEE Conf. Comput. Vis. Pattern Recognit. (CVPR), 2017, pp. 4700–4708.</w:t>
      </w:r>
    </w:p>
    <w:p>
      <w:pPr>
        <w:spacing w:line="276" w:lineRule="auto" w:after="100"/>
      </w:pPr>
      <w:r>
        <w:rPr>
          <w:rFonts w:ascii="Times New Roman" w:hAnsi="Times New Roman"/>
          <w:sz w:val="20"/>
        </w:rPr>
        <w:t>[10] C. Guo, G. Pleiss, Y. Sun, and K. Q. Weinberger, 'On calibration of modern neural networks,' in Proc. Int. Conf. Mach. Learn. (ICML), 2017, pp. 1321–1330.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