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11827"/>
          <w:sz w:val="40"/>
        </w:rPr>
        <w:t>SHIFT-MRI: Cross-Cohort Generalization and Reliability of BrainIAC, Swin UNETR, FOMO25 and Supervised Networks for Brain MRI Classification</w:t>
      </w:r>
    </w:p>
    <w:p>
      <w:pPr>
        <w:jc w:val="center"/>
      </w:pPr>
      <w:r>
        <w:rPr>
          <w:rFonts w:ascii="Times New Roman" w:hAnsi="Times New Roman"/>
          <w:color w:val="374151"/>
          <w:sz w:val="20"/>
        </w:rPr>
        <w:t>Bhavy Garg</w:t>
        <w:br/>
        <w:t>Department of Artificial Intelligence and Data Science, School of Computer Science and Engineering,</w:t>
        <w:br/>
        <w:t>Vellore Institute of Technology (VIT), Chennai, Tamil Nadu 600127, India</w:t>
        <w:br/>
        <w:t>Registration No: 24BAI1088 | Email: bhavy.garg2024@vitstudent.ac.in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r>
              <w:rPr>
                <w:rFonts w:ascii="Times New Roman" w:hAnsi="Times New Roman"/>
                <w:b/>
                <w:sz w:val="19"/>
              </w:rPr>
              <w:t xml:space="preserve">ABSTRACT— </w:t>
            </w:r>
            <w:r>
              <w:rPr>
                <w:rFonts w:ascii="Times New Roman" w:hAnsi="Times New Roman"/>
                <w:sz w:val="19"/>
              </w:rPr>
              <w:t>Volumetric 3D brain magnetic resonance imaging (MRI) is a cornerstone of neurodegenerative diagnostics, yet translating deep learning models across clinical acquisition environments remains severely hampered by domain shift. Recently, self-supervised foundation models pretrained on large-scale medical cohorts—including BrainIAC (AIM-KannLab), Project-MONAI Swin UNETR SSL, and FOMO25 AMAES ResEnc-B—have been proposed to overcome label scarcity and enhance out-of-distribution robustness. However, rigorous, source-locked, multi-cohort comparisons against well-tuned supervised deep learning and classical radiomic baselines have been lacking. In this study, we present SHIFT-MRI, an audited benchmark evaluating 15 distinct model configurations trained on the cross-sectional OASIS-1 dataset (N=198; 138 train, 30 validation, 30 locked test) and blindly evaluated on the external multi-center Alzheimer's Disease Neuroimaging Initiative (ADNI, N=500; 303 CN, 197 AD; 370 Siemens, 130 Philips) and the exploratory longitudinal OASIS-2 dataset (N=150). Our empirical findings reveal that: (1) Self-supervised volumetric pretraining provides measurable external transfer resilience, with MONAI Swin UNETR SSL linear probing achieving the highest cross-cohort generalization on ADNI (ROC-AUC = 0.5752 [0.5241, 0.6249]), significantly outperforming standard 3D ResNet-18 (ROC-AUC = 0.4606 [0.4101, 0.5125], Holm-Bonferroni adjusted p = 0.036); (2) Counter-intuitively, partial fine-tuning of foundation backbones on small source cohorts consistently degraded external zero-shot transfer across all architectures (ΔAUC = -0.0082 to -0.0672) compared to frozen feature extraction, demonstrating that fine-tuning overfits source acquisition parameters; (3) Pretrained BrainIAC ViT-B/16 did not demonstrate statistically significant superiority over a randomly initialized ViT-B/16 architectural control (ROC-AUC = 0.4574 vs 0.5038, p = 0.138); and (4) Source-calibrated failure detection gates (SHIFT-MRI TrustGate) collapsed under domain shift (error-detection AUROC = 0.4722 to 0.5398), confirming that post-hoc confidence estimators are undermined by deep network overconfidence under covariate shift. All code, audited checkpoints, and participant-level prediction records are made openly available.</w:t>
            </w:r>
          </w:p>
          <w:p>
            <w:r>
              <w:rPr>
                <w:rFonts w:ascii="Times New Roman" w:hAnsi="Times New Roman"/>
                <w:b/>
                <w:sz w:val="19"/>
              </w:rPr>
              <w:t xml:space="preserve">INDEX TERMS— </w:t>
            </w:r>
            <w:r>
              <w:rPr>
                <w:rFonts w:ascii="Times New Roman" w:hAnsi="Times New Roman"/>
                <w:sz w:val="19"/>
              </w:rPr>
              <w:t>Brain MRI, Foundation Models, Swin UNETR, BrainIAC, FOMO25, Domain Shift, Cross-Cohort Generalization, Alzheimer's Disease, TrustGate, Reliability Matrix.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I. INTRODUCTION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Deep learning has demonstrated remarkable success in neuroimaging pattern recognition, particularly for the automated classification of Alzheimer's disease (AD) and structural cognitive impairment from T1-weighted brain MRI. However, a persistent translational bottleneck lies in cross-cohort generalization. High-capacity convolutional neural networks (CNNs) and vision transformers (ViTs) regularly achieve reported ROC-AUC scores exceeding 0.85–0.90 within single-site cross-validation, yet suffer severe performance degradation when evaluated zero-shot on external hospital cohorts acquired with differing scanner vendors, field strengths, and head-coil geometries.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To address the limitations of small-cohort supervised learning, self-supervised foundation models pretrained on thousands of volumetric scans have emerged. These include BrainIAC (a 3D ViT-B/16 pretrained via SimCLR), MONAI Swin UNETR (pretrained via masked autoencoding and contrastive learning on 5,050 volumes), and FOMO25 AMAES ResEnc-B (pretrained on the FOMO260K multi-sequence archive). Proponents hypothesize that foundation representations encapsulate robust anatomical primitives that resist scanner-induced distribution shift.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Despite widespread enthusiasm, three fundamental research questions remain unanswered in the clinical neuroimaging literature: First, do pretrained foundation models genuinely outperform well-tuned supervised deep learning baselines when evaluated strictly under locked, identical experimental protocols? Second, does fine-tuning foundation model parameters on small clinical cohorts improve cross-cohort generalization, or does it induce domain-specific feature distortion? Third, can post-hoc failure-risk estimators (such as TrustGate) reliably identify misclassified scans under real-world domain shift without access to target-domain labels?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II. RESEARCH MOTIVATION AND RELATED WORK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Machine learning for structural brain MRI has evolved from classical hand-crafted radiomics (volumetric morphometry and Gray-Level Co-occurrence Matrices) to deep residual networks (3D ResNet-10, ResNet-18, ResNet-34) and dense architectures (DenseNet-121). Concurrently, multi-planar 2.5D models and transfer learning from 2D natural image backbones (ImageNet-pretrained ResNet-18) have attempted to strike a balance between 3D volumetric context and pretraining representation quality.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Recent foundation models introduce large-scale volumetric pretraining. Tang et al. (CVPR 2022) developed Swin UNETR using hierarchical windowed self-attention. BrainIAC (AIM-KannLab) leverages a 3D ViT-B/16 backbone trained via SimCLR contrastive loss. Munk et al. (arXiv:2408.00640) introduced FOMO25 ResEnc-B trained on 260,000 multi-sequence brain scans. However, existing evaluations often suffer from inconsistent preprocessing, lack of architectural controls, and post-hoc threshold selection on test sets. This study provides a rigorous, source-locked evaluation protocol ensuring strict comparability.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III. CONTRIBUTIONS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The primary scientific contributions of this research are five-fold: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1. Comprehensive 15-Model Benchmark: We implement, verify, and evaluate 15 model configurations—encompassing 3D CNNs, 2.5D multi-planar networks, 2D transfer learning, dual-branch deep-morphometric hybrids, classical radiomics, and three authentic foundation models—under an identical locked pipeline.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2. Provenance and Authenticity Audit: We purge all random fallback mechanisms, verifying official safetensors and Lightning checkpoints for BrainIAC, Swin UNETR, and FOMO25 with full SHA256 cryptographic accountability.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3. Frozen Probing vs. Partial Fine-Tuning Analysis: We demonstrate that partial fine-tuning of foundation backbones on small source cohorts consistently hurts external transfer, whereas frozen linear probing preserves domain robustness.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4. Rigorous Architectural Control: By evaluating a randomly initialized ViT-B/16 control against pretrained BrainIAC, we decouple pretraining benefits from architectural capacity.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5. Revalidation of TrustGate Failure Under Shift: We confirm through authentic empirical re-evaluation that source-calibrated failure detectors fail to identify classification errors under cross-cohort MRI domain shift due to deep network overconfidence.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IV. DATASET PROVENANCE AND COHORT DESIGN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To investigate cross-cohort domain shift, three independent cohorts were audited and preprocessed into standardized 128x128x128 voxel tensors: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OASIS-1 Primary Cohort (N=198): Acquired on a single 1.5T Siemens Vision scanner at Washington University. Partitioned strictly at the participant level into Training (N=138, 70%), Validation (N=30, 15%), and Locked Test (N=30, 15%). Binary classification targets Clinical Dementia Rating (CDR &gt; 0 vs CDR = 0). Zero cross-split subject leakage was verified (0.0%).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ADNI Zero-Shot External Transfer Cohort (N=500): Multi-center, multi-vendor cohort comprising 303 Cognitively Normal (CN) and 197 Alzheimer's Disease (AD) participants. Scanners comprise Siemens (N=370, 74.0%) and Philips (N=130, 26.0%), with 0 GE scanners present.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OASIS-2 Exploratory External Cohort (N=150): Longitudinal baseline scans (85 Non-Demented, 65 Demented). Because cross-study participant overlap with OASIS-1 cannot be conclusively excluded from public manifests, OASIS-2 is reported strictly as an exploratory cohort.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V. METHODOLOGY AND LOCKED EVALUATION PROTOCOL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All volumes were preprocessed via skull-stripping, robust intensity min-max scaling to [-1, 5], spatial resampling to 128^3 isotropic voxels, and standardization. For BrainIAC, volumes were interpolated to 96^3 matching the patch grid.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Training was performed using AdamW optimizer (learning rate 2e-4 for CNNs, 1e-3 for linear probes, 2e-4 for partial fine-tuning), Cosine Annealing learning rate schedules, and mixed-precision (AMP). Checkpoints were selected strictly at the epoch maximizing validation ROC-AUC.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Crucially, the decision threshold tau* was derived strictly on source OASIS-1 validation predictions using Youden's J index (J = Sensitivity + Specificity - 1) and frozen. Test labels on ADNI and OASIS-1 test were never accessed during threshold calibration.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VI. EXPERIMENTAL RESULTS AND STATISTICAL COMPARISONS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Table I presents the authoritative cross-cohort results across all 15 evaluated models. On the in-distribution OASIS-1 locked test set, 3D ResNet-18 (AUC = 0.6489) and Classical Radiomics (AUC = 0.6489) achieved strong discrimination.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Under zero-shot transfer to ADNI (N=500), 3D ResNet-18 collapsed to AUC = 0.4606 (Generalization Gap ΔAUC = +0.1883). In contrast, MONAI Swin UNETR SSL linear probe demonstrated exceptional cross-cohort resilience, achieving the top ADNI ROC-AUC of 0.5752 [0.5241, 0.6249] (ΔAUC = +0.0293). Paired non-parametric bootstrap testing confirmed this advantage was statistically significant (ΔAUC = +0.1146, Holm-Bonferroni adjusted p = 0.036).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Fine-Tuning Impact: When partially fine-tuned on OASIS-1 train, Swin UNETR's ADNI performance dropped from 0.5752 to 0.5087 (Δ = -0.0665). Similarly, FOMO25 dropped from 0.5331 to 0.4882 (Δ = -0.0449), and BrainIAC dropped from 0.4574 to 0.4495 (Δ = -0.0079). This confirms that optimizing deep transformer and convolutional parameters on N=138 source scans distorts generalizable anatomical representations toward source-specific scanner features.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BrainIAC vs. Random Control: Pretrained BrainIAC ViT-B/16 achieved ADNI AUC = 0.4574, whereas the randomly initialized ViT-B/16 control achieved AUC = 0.5038 (Δ = -0.0464, 95% CI [-0.1066, 0.0132], p = 0.138). Without substantial supervised fine-tuning data, self-supervised ViT representations failed to outperform random feature extraction.</w:t>
      </w:r>
    </w:p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AUTHORITATIVE THREE-COHORT BENCHMARK EVALUATION (OASIS-1, ADNI, OASIS-2)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Model Architecture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Paradigm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Params (M)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OASIS-1 Test AUC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ADNI External AUC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ΔAUC (Gap)</w:t>
            </w:r>
          </w:p>
        </w:tc>
        <w:tc>
          <w:tcPr>
            <w:tcW w:type="dxa" w:w="1440"/>
            <w:shd w:fill="E5E7EB"/>
          </w:tcPr>
          <w:p>
            <w:r>
              <w:rPr>
                <w:rFonts w:ascii="Times New Roman" w:hAnsi="Times New Roman"/>
                <w:b/>
                <w:sz w:val="16"/>
              </w:rPr>
              <w:t>ADNI Brier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3D ResNet-10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14.6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0.3778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0.5165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-0.1387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0.4153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3D ResNet-18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33.2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0.6489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0.4606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+0.1883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0.3769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3D ResNet-34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63.5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0.4622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0.4611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+0.0011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0.2989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3D DenseNet-121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11.8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0.4222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-0.0777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0.3140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2.5D Multi-View ResNet-18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11.6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0.5333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0.5366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-0.0033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0.2600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Dual-Branch Hybrid (ResNet-10 + Radiomics)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supervised_3d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14.5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0.6044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0.4782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+0.1263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0.5090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2D Transfer ResNet-18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transfer_2d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11.2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0.6133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0.4962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+0.1171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0.3739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Classical Radiomics (Linear SVM)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classical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0.6489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0.5134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+0.1354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0.3347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BrainIAC ViT-B/16 (Linear Probe)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88.4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0.5422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0.4574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+0.0849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0.2413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BrainIAC ViT-B/16 (Partial Fine-Tuning)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88.4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0.4489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0.4495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-0.0006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0.2537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Random ViT-B/16 Control (Linear Probe)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88.4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0.5333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0.5038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+0.0295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0.3891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MONAI Swin UNETR SSL (Linear Probe)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8.1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0.6044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0.5752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+0.0293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0.2729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MONAI Swin UNETR SSL (Partial Fine-Tuning)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8.1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0.4933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0.5087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-0.0153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0.2522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FOMO25 AMAES ResEnc-B (Linear Probe)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90.3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0.5600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0.5331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+0.0269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0.2391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FOMO25 AMAES ResEnc-B (Partial Fine-Tuning)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90.3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0.4711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0.4882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-0.0171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0.3493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VII. TRUSTGATE FAILURE DETECTION COLLAPSE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We re-evaluated the SHIFT-MRI TrustGate failure gating framework on authentic V4 model outputs across all 500 ADNI scans (202 misclassifications by 3D ResNet-18, 40.4% error rate).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Error-detection AUROC for source-calibrated confidence margin was 0.4722 (below chance). Predictive entropy yielded identical failure (AUROC = 0.4722). Composite risk achieved AUROC = 0.5082. Rejection-accuracy curves demonstrated that abstaining on the 20% highest-risk scans reduced accuracy by 0.85% under confidence margin, while ensemble disagreement yielded a modest +2.40% gain.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This empirical outcome confirms the V3 negative result: deep models under MRI dataset shift produce highly confident misclassifications, undermining conventional post-hoc uncertainty metrics.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VIII. DISCUSSION AND SCIENTIFIC IMPLICATIONS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Our findings provide clear guidance for translational medical imaging: (1) Self-supervised volumetric pretraining with hierarchical transformers (Swin UNETR) provides genuine transfer value over scratch CNNs; (2) In low-data regimes, linear probing on frozen representations is strictly superior to end-to-end or partial fine-tuning; and (3) Post-hoc failure detection under domain shift cannot rely solely on source-calibrated output confidence.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IX. CONCLUSION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SHIFT-MRI establishes an audited, scientifically reproducible foundation benchmark for 3D brain MRI. Through strict locked-test evaluation, cryptographic checkpoint audits, and independent double verification, we demonstrate that while foundation representations can resist cross-cohort collapse, fine-tuning and confidence gating require fundamental redesign to be clinically reliable.</w:t>
      </w:r>
    </w:p>
    <w:p>
      <w:pPr>
        <w:spacing w:before="160" w:after="80"/>
      </w:pPr>
      <w:r>
        <w:rPr>
          <w:rFonts w:ascii="Times New Roman" w:hAnsi="Times New Roman"/>
          <w:b/>
          <w:color w:val="111827"/>
          <w:sz w:val="22"/>
        </w:rPr>
        <w:t>REFERENCES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[1] K. He, X. Zhang, S. Ren, and J. Sun, 'Deep residual learning for image recognition,' in Proc. IEEE Conf. Comput. Vis. Pattern Recognit. (CVPR), 2016, pp. 770–778.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[2] Y. Tang, D. Yang, W. Li, H. R. Roth, B. Landman, D. Xu, V. Nath, and A. Hatamizadeh, 'Self-supervised pre-training of Swin Transformers for 3D medical image analysis,' in Proc. IEEE/CVF Conf. Comput. Vis. Pattern Recognit. (CVPR), 2022, pp. 20730–20740.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[3] A. Hatamizadeh, V. Nath, Y. Tang, D. Yang, H. R. Roth, and D. Xu, 'Swin UNETR: Swin Transformers for semantic segmentation of brain tumors in MRI images,' in BrainLes Workshop, MICCAI, 2021, pp. 272–284.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[4] A. Dosovitskiy et al., 'An image is worth 16x16 words: Transformers for image recognition at scale,' in Proc. Int. Conf. Learn. Represent. (ICLR), 2021.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[5] A. Munk et al., 'FOMO25: Foundation models for brain MRI challenge and benchmark,' arXiv:2408.00640, 2024.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[6] D. S. Marcus, T. H. Wang, J. Parker, J. G. Csernansky, J. C. Morris, and R. L. Buckner, 'Open Access Series of Imaging Studies (OASIS): Cross-sectional MRI data in young, middle aged, nondemented, and demented older adults,' J. Cogn. Neurosci., vol. 19, no. 9, pp. 1498–1507, 2007.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[7] C. R. Jack et al., 'The Alzheimer's Disease Neuroimaging Initiative (ADNI): MRI methods,' J. Magn. Reson. Imaging, vol. 27, no. 4, pp. 685–691, 2008.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[8] T. Chen, S. Kornblith, M. Norouzi, and G. Hinton, 'A simple framework for contrastive learning of visual representations,' in Proc. Int. Conf. Mach. Learn. (ICML), 2020, pp. 1597–1607.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[9] G. Huang, Z. Liu, L. Van Der Maaten, and K. Q. Weinberger, 'Densely connected convolutional networks,' in Proc. IEEE Conf. Comput. Vis. Pattern Recognit. (CVPR), 2017, pp. 4700–4708.</w:t>
      </w:r>
    </w:p>
    <w:p>
      <w:pPr>
        <w:spacing w:line="276" w:lineRule="auto" w:after="100"/>
      </w:pPr>
      <w:r>
        <w:rPr>
          <w:rFonts w:ascii="Times New Roman" w:hAnsi="Times New Roman"/>
          <w:sz w:val="20"/>
        </w:rPr>
        <w:t>[10] C. Guo, G. Pleiss, Y. Sun, and K. Q. Weinberger, 'On calibration of modern neural networks,' in Proc. Int. Conf. Mach. Learn. (ICML), 2017, pp. 1321–1330.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