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26"/>
        </w:rPr>
        <w:t>VELLORE INSTITUTE OF TECHNOLOGY (VIT), CHENNAI</w:t>
        <w:br/>
        <w:t>SCHOOL OF COMPUTER SCIENCE AND ENGINEERING</w:t>
        <w:br/>
        <w:t>DEPARTMENT OF ARTIFICIAL INTELLIGENCE AND DATA SCIENCE</w:t>
        <w:br/>
        <w:br/>
        <w:t>ACADEMIC YEAR 2026–2027</w:t>
      </w:r>
    </w:p>
    <w:p>
      <w:pPr>
        <w:spacing w:after="720"/>
      </w:pPr>
    </w:p>
    <w:p>
      <w:pPr>
        <w:jc w:val="center"/>
      </w:pPr>
      <w:r>
        <w:rPr>
          <w:b/>
          <w:color w:val="111827"/>
          <w:sz w:val="36"/>
        </w:rPr>
        <w:t>RESEARCH PROJECT REPORT</w:t>
        <w:br/>
        <w:br/>
        <w:t>SHIFT-MRI: Comparative Evaluation of Pretrained Foundation Models and Deep Learning Architectures for Brain MRI Analysis</w:t>
      </w:r>
    </w:p>
    <w:p>
      <w:pPr>
        <w:spacing w:after="960"/>
      </w:pPr>
    </w:p>
    <w:p>
      <w:pPr>
        <w:jc w:val="center"/>
      </w:pPr>
      <w:r>
        <w:rPr>
          <w:color w:val="374151"/>
          <w:sz w:val="24"/>
        </w:rPr>
        <w:t>Submitted by:</w:t>
        <w:br/>
        <w:t>BHAVY GARG</w:t>
        <w:br/>
        <w:t>Registration Number: 24BAI1088</w:t>
        <w:br/>
        <w:t>Degree: B.Tech Computer Science and Engineering (AI &amp; DS)</w:t>
        <w:br/>
        <w:br/>
        <w:t>Under the Supervision of Faculty Advisors</w:t>
        <w:br/>
        <w:t>Vellore Institute of Technology, Chennai</w:t>
      </w:r>
    </w:p>
    <w:p>
      <w:pPr>
        <w:spacing w:after="720"/>
      </w:pPr>
    </w:p>
    <w:p>
      <w:pPr>
        <w:jc w:val="center"/>
      </w:pPr>
      <w:r>
        <w:rPr>
          <w:b/>
        </w:rPr>
        <w:t>OCTOBER 23, 2026</w:t>
      </w:r>
    </w:p>
    <w:p>
      <w:r>
        <w:br w:type="page"/>
      </w:r>
    </w:p>
    <w:p>
      <w:pPr>
        <w:pStyle w:val="Heading1"/>
      </w:pPr>
      <w:r>
        <w:t>CHAPTER 1: PROJECT ABSTRACT &amp; OBJECTIVES</w:t>
      </w:r>
    </w:p>
    <w:p>
      <w:pPr>
        <w:spacing w:line="276" w:lineRule="auto" w:after="120"/>
      </w:pPr>
      <w:r>
        <w:t>This project presents an extensive empirical investigation into cross-cohort generalization and reliability of volumetric 3D brain MRI models. Specifically, we evaluate whether recent foundation models (BrainIAC, MONAI Swin UNETR SSL, FOMO25 AMAES ResEnc-B) provide superior out-of-distribution transfer compared to tuned 3D CNN baselines (ResNet-10/18/34, DenseNet-121, Dual-Branch Hybrids) and classical radiomics.</w:t>
      </w:r>
    </w:p>
    <w:p>
      <w:pPr>
        <w:spacing w:line="276" w:lineRule="auto" w:after="120"/>
      </w:pPr>
      <w:r>
        <w:t>Key objectives completed: (1) Full dataset audit and verification of OASIS-1 (N=198), ADNI (N=500), and OASIS-2 (N=150) without patient leakage; (2) Elimination of random fallback weights and cryptographic authentication of official checkpoints; (3) Unified training and adaptation of 15 model configurations; (4) Formal hypothesis testing with Holm-Bonferroni correction; and (5) Scientific re-evaluation of TrustGate failure estimation under domain shift.</w:t>
      </w:r>
    </w:p>
    <w:p>
      <w:pPr>
        <w:pStyle w:val="Heading1"/>
      </w:pPr>
      <w:r>
        <w:t>CHAPTER 2: SYSTEM ARCHITECTURE &amp; PREPROCESSING</w:t>
      </w:r>
    </w:p>
    <w:p>
      <w:pPr>
        <w:spacing w:line="276" w:lineRule="auto" w:after="120"/>
      </w:pPr>
      <w:r>
        <w:t>The SHIFT-MRI platform architecture integrates a modular PyTorch/MONAI machine learning backend with an interactive web dashboard for real-time visualization of 3D MRI volumes, Grad-CAM attribution, and model comparison.</w:t>
      </w:r>
    </w:p>
    <w:p>
      <w:pPr>
        <w:spacing w:line="276" w:lineRule="auto" w:after="120"/>
      </w:pPr>
      <w:r>
        <w:t>All MRI volumes undergo standardized preprocessing: 3D bounding skull-stripping, intensity z-score normalization, and spatial resampling to 128x128x128 isotropic grids. Handcrafted radiomics extract 24 morphometric, intensity, and texture features. A 6-biomarker Anatomical ROI Extractor captures ventricular and hippocampal volumetric proportions for hybrid deep-radiomic fusion.</w:t>
      </w:r>
    </w:p>
    <w:p>
      <w:pPr>
        <w:pStyle w:val="Heading1"/>
      </w:pPr>
      <w:r>
        <w:t>CHAPTER 3: EXPERIMENTAL METHODOLOGY &amp; BENCHMARK MODELS</w:t>
      </w:r>
    </w:p>
    <w:p>
      <w:pPr>
        <w:spacing w:line="276" w:lineRule="auto" w:after="120"/>
      </w:pPr>
      <w:r>
        <w:t>15 models were evaluated under identical locked conditions:</w:t>
      </w:r>
    </w:p>
    <w:p>
      <w:pPr>
        <w:spacing w:line="276" w:lineRule="auto" w:after="120"/>
      </w:pPr>
      <w:r>
        <w:t>- Supervised 3D CNNs: 3D ResNet-10 (14.6M params), 3D ResNet-18 (33.2M params), 3D ResNet-34 (63.5M params), 3D DenseNet-121 (11.8M params).</w:t>
      </w:r>
    </w:p>
    <w:p>
      <w:pPr>
        <w:spacing w:line="276" w:lineRule="auto" w:after="120"/>
      </w:pPr>
      <w:r>
        <w:t>- Transfer &amp; Multi-Planar: 2D Slice Transfer ResNet-18 (11.2M params), 2.5D Multi-View ResNet-18 (11.6M params).</w:t>
      </w:r>
    </w:p>
    <w:p>
      <w:pPr>
        <w:spacing w:line="276" w:lineRule="auto" w:after="120"/>
      </w:pPr>
      <w:r>
        <w:t>- Hybrid &amp; Classical: Dual-Branch Hybrid (ResNet-10 + Radiomics, 14.5M params), Classical Radiomics (Linear SVM on 24 features).</w:t>
      </w:r>
    </w:p>
    <w:p>
      <w:pPr>
        <w:spacing w:line="276" w:lineRule="auto" w:after="120"/>
      </w:pPr>
      <w:r>
        <w:t>- Foundation Probes &amp; Fine-Tuning: BrainIAC ViT-B/16 (88.4M params), MONAI Swin UNETR SSL (8.1M params), FOMO25 AMAES ResEnc-B (90.3M params), in both linear probe and partial fine-tuning modes.</w:t>
      </w:r>
    </w:p>
    <w:p>
      <w:pPr>
        <w:spacing w:line="276" w:lineRule="auto" w:after="120"/>
      </w:pPr>
      <w:r>
        <w:t>- Control: Randomly Initialized ViT-B/16 control model to test pretraining benefit.</w:t>
      </w:r>
    </w:p>
    <w:p>
      <w:pPr>
        <w:pStyle w:val="Heading1"/>
      </w:pPr>
      <w:r>
        <w:t>CHAPTER 4: RESULTS, DISCUSSIONS &amp; STATISTICAL ANALYSIS</w:t>
      </w:r>
    </w:p>
    <w:p>
      <w:pPr>
        <w:spacing w:line="276" w:lineRule="auto" w:after="120"/>
      </w:pPr>
      <w:r>
        <w:t>1. Swin UNETR Achieved Highest Generalization: MONAI Swin UNETR SSL linear probe achieved an ADNI AUC of 0.5752, significantly higher than 3D ResNet-18 (0.4606, p=0.036).</w:t>
      </w:r>
    </w:p>
    <w:p>
      <w:pPr>
        <w:spacing w:line="276" w:lineRule="auto" w:after="120"/>
      </w:pPr>
      <w:r>
        <w:t>2. Fine-Tuning Degraded External Performance: Partial fine-tuning on N=138 source scans caused performance drops across all foundation models (-0.008 to -0.067 AUC).</w:t>
      </w:r>
    </w:p>
    <w:p>
      <w:pPr>
        <w:spacing w:line="276" w:lineRule="auto" w:after="120"/>
      </w:pPr>
      <w:r>
        <w:t>3. BrainIAC vs Control: BrainIAC (AUC=0.4574) did not significantly outperform random ViT control (AUC=0.5038, p=0.138).</w:t>
      </w:r>
    </w:p>
    <w:p>
      <w:pPr>
        <w:spacing w:line="276" w:lineRule="auto" w:after="120"/>
      </w:pPr>
      <w:r>
        <w:t>4. TrustGate Failure Detection Collapsed: Source-trained confidence margin achieved error detection AUROC of 0.4722 on ADNI, demonstrating that deep network overconfidence prevents accurate post-hoc failure prediction.</w:t>
      </w:r>
    </w:p>
    <w:p>
      <w:pPr>
        <w:pStyle w:val="Heading1"/>
      </w:pPr>
      <w:r>
        <w:t>CHAPTER 5: CONCLUSION &amp; RECOMMENDATIONS</w:t>
      </w:r>
    </w:p>
    <w:p>
      <w:pPr>
        <w:spacing w:line="276" w:lineRule="auto" w:after="120"/>
      </w:pPr>
      <w:r>
        <w:t>We recommend that clinical neuroimaging AI systems: (1) Favor frozen foundation feature extractors over aggressive fine-tuning on small cohorts; (2) Disclose demographic baseline benchmarks (age/sex); and (3) Use ensemble disagreement rather than confidence margin for risk gating.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