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rFonts w:ascii="Calibri" w:cs="Calibri" w:eastAsia="Calibri" w:hAnsi="Calibri"/>
          <w:b/>
          <w:bCs/>
          <w:color w:val="1F3864"/>
          <w:sz w:val="40"/>
          <w:szCs w:val="40"/>
        </w:rPr>
        <w:t xml:space="preserve">Latest Trends in Human Resource Management:</w:t>
      </w:r>
    </w:p>
    <w:p>
      <w:pPr>
        <w:spacing w:after="1200"/>
        <w:jc w:val="center"/>
      </w:pPr>
      <w:r>
        <w:rPr>
          <w:rFonts w:ascii="Calibri" w:cs="Calibri" w:eastAsia="Calibri" w:hAnsi="Calibri"/>
          <w:b/>
          <w:bCs/>
          <w:color w:val="1F3864"/>
          <w:sz w:val="40"/>
          <w:szCs w:val="40"/>
        </w:rPr>
        <w:t xml:space="preserve">A Transformation Perspective</w:t>
      </w:r>
    </w:p>
    <w:p>
      <w:pPr>
        <w:spacing w:after="3200"/>
        <w:jc w:val="center"/>
      </w:pPr>
      <w:r>
        <w:rPr>
          <w:rFonts w:ascii="Calibri" w:cs="Calibri" w:eastAsia="Calibri" w:hAnsi="Calibri"/>
          <w:i/>
          <w:iCs/>
          <w:sz w:val="26"/>
          <w:szCs w:val="26"/>
        </w:rPr>
        <w:t xml:space="preserve">HR Research Report</w:t>
      </w:r>
    </w:p>
    <w:p>
      <w:pPr>
        <w:spacing w:after="200"/>
        <w:jc w:val="center"/>
      </w:pPr>
      <w:r>
        <w:rPr>
          <w:rFonts w:ascii="Calibri" w:cs="Calibri" w:eastAsia="Calibri" w:hAnsi="Calibri"/>
          <w:b/>
          <w:bCs/>
          <w:sz w:val="24"/>
          <w:szCs w:val="24"/>
        </w:rPr>
        <w:t xml:space="preserve">Prepared By: Bhavika Santosh Bhoir</w:t>
      </w:r>
    </w:p>
    <w:p>
      <w:pPr>
        <w:spacing w:after="200"/>
        <w:jc w:val="center"/>
      </w:pPr>
      <w:r>
        <w:rPr>
          <w:rFonts w:ascii="Calibri" w:cs="Calibri" w:eastAsia="Calibri" w:hAnsi="Calibri"/>
          <w:b/>
          <w:bCs/>
          <w:sz w:val="24"/>
          <w:szCs w:val="24"/>
        </w:rPr>
        <w:t xml:space="preserve">Submitted To: Sanyukt Organisation</w:t>
      </w:r>
    </w:p>
    <w:p>
      <w:pPr>
        <w:spacing w:after="200"/>
        <w:jc w:val="center"/>
      </w:pPr>
      <w:r>
        <w:rPr>
          <w:rFonts w:ascii="Calibri" w:cs="Calibri" w:eastAsia="Calibri" w:hAnsi="Calibri"/>
          <w:b/>
          <w:bCs/>
          <w:sz w:val="24"/>
          <w:szCs w:val="24"/>
        </w:rPr>
        <w:t xml:space="preserve">Task: Task 4 – HR Research Report</w:t>
      </w:r>
    </w:p>
    <w:p>
      <w:pPr>
        <w:spacing w:after="200"/>
        <w:jc w:val="center"/>
      </w:pPr>
      <w:r>
        <w:rPr>
          <w:rFonts w:ascii="Calibri" w:cs="Calibri" w:eastAsia="Calibri" w:hAnsi="Calibri"/>
          <w:b/>
          <w:bCs/>
          <w:sz w:val="24"/>
          <w:szCs w:val="24"/>
        </w:rPr>
        <w:t xml:space="preserve">Submission Date: 18 July 2026</w:t>
      </w:r>
    </w:p>
    <w:p>
      <w:r>
        <w:br w:type="page"/>
      </w:r>
    </w:p>
    <w:p>
      <w:pPr>
        <w:spacing w:after="200" w:line="360" w:lineRule="auto"/>
        <w:jc w:val="both"/>
      </w:pPr>
      <w:r>
        <w:rPr>
          <w:rFonts w:ascii="Calibri" w:cs="Calibri" w:eastAsia="Calibri" w:hAnsi="Calibri"/>
          <w:b w:val="false"/>
          <w:bCs w:val="false"/>
          <w:i w:val="false"/>
          <w:iCs w:val="false"/>
          <w:sz w:val="24"/>
          <w:szCs w:val="24"/>
        </w:rPr>
        <w:t xml:space="preserve">INTRODUCTION
Human Resource Management is undergoing one of the most significant transformations in its history, driven by artificial intelligence, digital platforms, globalization, and post-pandemic workforce expectations. HR data is now a strategic asset rather than an administrative record, while employees demand flexibility, purpose, and continuous growth. This report critically examines the trends reshaping HR, the tensions they create, and why HR's future depends on partnering with technology rather than resisting it.</w:t>
      </w:r>
    </w:p>
    <w:p>
      <w:pPr>
        <w:pStyle w:val="Heading1"/>
        <w:spacing w:after="200" w:before="300" w:line="360" w:lineRule="auto"/>
      </w:pPr>
      <w:r>
        <w:rPr>
          <w:rFonts w:ascii="Calibri" w:cs="Calibri" w:eastAsia="Calibri" w:hAnsi="Calibri"/>
          <w:b/>
          <w:bCs/>
          <w:color w:val="1F3864"/>
          <w:sz w:val="30"/>
          <w:szCs w:val="30"/>
        </w:rPr>
        <w:t xml:space="preserve">TRENDS RESHAPING HR</w:t>
      </w:r>
    </w:p>
    <w:p>
      <w:pPr>
        <w:spacing w:after="200" w:line="360" w:lineRule="auto"/>
        <w:jc w:val="both"/>
      </w:pPr>
      <w:r>
        <w:rPr>
          <w:rFonts w:ascii="Calibri" w:cs="Calibri" w:eastAsia="Calibri" w:hAnsi="Calibri"/>
          <w:b/>
          <w:bCs/>
          <w:sz w:val="24"/>
          <w:szCs w:val="24"/>
        </w:rPr>
        <w:t xml:space="preserve">Artificial Intelligence in Recruitment. </w:t>
      </w:r>
      <w:r>
        <w:rPr>
          <w:rFonts w:ascii="Calibri" w:cs="Calibri" w:eastAsia="Calibri" w:hAnsi="Calibri"/>
          <w:sz w:val="24"/>
          <w:szCs w:val="24"/>
        </w:rPr>
        <w:t xml:space="preserve">AI screening standardizes evaluation and shortens hiring cycles; organizations now favor human-algorithm tandems over full automation to offset bias (Dutta et al., 2026), as seen in Unilever's AI-assisted hiring pipeline.</w:t>
      </w:r>
    </w:p>
    <w:p>
      <w:pPr>
        <w:spacing w:after="200" w:line="360" w:lineRule="auto"/>
        <w:jc w:val="both"/>
      </w:pPr>
      <w:r>
        <w:rPr>
          <w:rFonts w:ascii="Calibri" w:cs="Calibri" w:eastAsia="Calibri" w:hAnsi="Calibri"/>
          <w:b/>
          <w:bCs/>
          <w:sz w:val="24"/>
          <w:szCs w:val="24"/>
        </w:rPr>
        <w:t xml:space="preserve">People Analytics and Data-Driven HR. </w:t>
      </w:r>
      <w:r>
        <w:rPr>
          <w:rFonts w:ascii="Calibri" w:cs="Calibri" w:eastAsia="Calibri" w:hAnsi="Calibri"/>
          <w:sz w:val="24"/>
          <w:szCs w:val="24"/>
        </w:rPr>
        <w:t xml:space="preserve">Evidence-based analytics link workforce metrics to performance, elevating HR into a strategic partner (Suri &amp; Lakhanpal, 2024); Google's analytics practice informs leadership development, though many HR teams still lack statistical literacy.</w:t>
      </w:r>
    </w:p>
    <w:p>
      <w:pPr>
        <w:spacing w:after="200" w:line="360" w:lineRule="auto"/>
        <w:jc w:val="both"/>
      </w:pPr>
      <w:r>
        <w:rPr>
          <w:rFonts w:ascii="Calibri" w:cs="Calibri" w:eastAsia="Calibri" w:hAnsi="Calibri"/>
          <w:b/>
          <w:bCs/>
          <w:sz w:val="24"/>
          <w:szCs w:val="24"/>
        </w:rPr>
        <w:t xml:space="preserve">Hybrid and Remote Work. </w:t>
      </w:r>
      <w:r>
        <w:rPr>
          <w:rFonts w:ascii="Calibri" w:cs="Calibri" w:eastAsia="Calibri" w:hAnsi="Calibri"/>
          <w:sz w:val="24"/>
          <w:szCs w:val="24"/>
        </w:rPr>
        <w:t xml:space="preserve">Hybrid arrangements are now structurally embedded, and organizational support determines whether flexibility strengthens or erodes engagement (Merits, 2026), as reflected in Microsoft's Work Trend-informed Viva platform.</w:t>
      </w:r>
    </w:p>
    <w:p>
      <w:pPr>
        <w:spacing w:after="200" w:line="360" w:lineRule="auto"/>
        <w:jc w:val="both"/>
      </w:pPr>
      <w:r>
        <w:rPr>
          <w:rFonts w:ascii="Calibri" w:cs="Calibri" w:eastAsia="Calibri" w:hAnsi="Calibri"/>
          <w:b/>
          <w:bCs/>
          <w:sz w:val="24"/>
          <w:szCs w:val="24"/>
        </w:rPr>
        <w:t xml:space="preserve">Employee Well-being and Mental Health. </w:t>
      </w:r>
      <w:r>
        <w:rPr>
          <w:rFonts w:ascii="Calibri" w:cs="Calibri" w:eastAsia="Calibri" w:hAnsi="Calibri"/>
          <w:sz w:val="24"/>
          <w:szCs w:val="24"/>
        </w:rPr>
        <w:t xml:space="preserve">Digital fatigue has pushed wellbeing into core strategy, grounded in the Job Demands-Resources model rather than isolated perks (Merits, 2026); Deloitte's wellbeing dashboards reflect this measurable, proactive approach.</w:t>
      </w:r>
    </w:p>
    <w:p>
      <w:pPr>
        <w:spacing w:after="200" w:line="360" w:lineRule="auto"/>
        <w:jc w:val="both"/>
      </w:pPr>
      <w:r>
        <w:rPr>
          <w:rFonts w:ascii="Calibri" w:cs="Calibri" w:eastAsia="Calibri" w:hAnsi="Calibri"/>
          <w:b/>
          <w:bCs/>
          <w:sz w:val="24"/>
          <w:szCs w:val="24"/>
        </w:rPr>
        <w:t xml:space="preserve">Continuous Learning and Upskilling. </w:t>
      </w:r>
      <w:r>
        <w:rPr>
          <w:rFonts w:ascii="Calibri" w:cs="Calibri" w:eastAsia="Calibri" w:hAnsi="Calibri"/>
          <w:sz w:val="24"/>
          <w:szCs w:val="24"/>
        </w:rPr>
        <w:t xml:space="preserve">Rapid technological change makes reskilling a retention imperative, as AI accelerates obsolescence of narrow skills; Accenture's large-scale reskilling programs sustain employability.</w:t>
      </w:r>
    </w:p>
    <w:p>
      <w:pPr>
        <w:spacing w:after="200" w:line="360" w:lineRule="auto"/>
        <w:jc w:val="both"/>
      </w:pPr>
      <w:r>
        <w:rPr>
          <w:rFonts w:ascii="Calibri" w:cs="Calibri" w:eastAsia="Calibri" w:hAnsi="Calibri"/>
          <w:b/>
          <w:bCs/>
          <w:sz w:val="24"/>
          <w:szCs w:val="24"/>
        </w:rPr>
        <w:t xml:space="preserve">Digital HR Transformation. </w:t>
      </w:r>
      <w:r>
        <w:rPr>
          <w:rFonts w:ascii="Calibri" w:cs="Calibri" w:eastAsia="Calibri" w:hAnsi="Calibri"/>
          <w:sz w:val="24"/>
          <w:szCs w:val="24"/>
        </w:rPr>
        <w:t xml:space="preserve">Cloud-based HRIS and automation replace fragmented manual processes, freeing HR for judgment-based work, though success depends on data quality (Böhmer &amp; Schinnenburg, 2023), as shown by SAP SuccessFactors' wide adoption.</w:t>
      </w:r>
    </w:p>
    <w:p>
      <w:pPr>
        <w:spacing w:after="200" w:line="360" w:lineRule="auto"/>
        <w:jc w:val="both"/>
      </w:pPr>
      <w:r>
        <w:rPr>
          <w:rFonts w:ascii="Calibri" w:cs="Calibri" w:eastAsia="Calibri" w:hAnsi="Calibri"/>
          <w:b/>
          <w:bCs/>
          <w:sz w:val="24"/>
          <w:szCs w:val="24"/>
        </w:rPr>
        <w:t xml:space="preserve">Employee Experience. </w:t>
      </w:r>
      <w:r>
        <w:rPr>
          <w:rFonts w:ascii="Calibri" w:cs="Calibri" w:eastAsia="Calibri" w:hAnsi="Calibri"/>
          <w:sz w:val="24"/>
          <w:szCs w:val="24"/>
        </w:rPr>
        <w:t xml:space="preserve">Organizations now design HR touchpoints like customer journeys; IBM links sentiment data to attrition risk, illustrating this experience-first approach.</w:t>
      </w:r>
    </w:p>
    <w:p>
      <w:pPr>
        <w:spacing w:after="200" w:line="360" w:lineRule="auto"/>
        <w:jc w:val="both"/>
      </w:pPr>
      <w:r>
        <w:rPr>
          <w:rFonts w:ascii="Calibri" w:cs="Calibri" w:eastAsia="Calibri" w:hAnsi="Calibri"/>
          <w:b/>
          <w:bCs/>
          <w:sz w:val="24"/>
          <w:szCs w:val="24"/>
        </w:rPr>
        <w:t xml:space="preserve">Skills-Based Hiring. </w:t>
      </w:r>
      <w:r>
        <w:rPr>
          <w:rFonts w:ascii="Calibri" w:cs="Calibri" w:eastAsia="Calibri" w:hAnsi="Calibri"/>
          <w:sz w:val="24"/>
          <w:szCs w:val="24"/>
        </w:rPr>
        <w:t xml:space="preserve">Employers are shifting from degree-based screening toward verified competencies, widening talent pools but requiring new assessment infrastructure, as with LinkedIn's skills-based hiring tools.</w:t>
      </w:r>
    </w:p>
    <w:p>
      <w:pPr>
        <w:spacing w:after="200" w:line="360" w:lineRule="auto"/>
        <w:jc w:val="both"/>
      </w:pPr>
      <w:r>
        <w:rPr>
          <w:rFonts w:ascii="Calibri" w:cs="Calibri" w:eastAsia="Calibri" w:hAnsi="Calibri"/>
          <w:b/>
          <w:bCs/>
          <w:sz w:val="24"/>
          <w:szCs w:val="24"/>
        </w:rPr>
        <w:t xml:space="preserve">Diversity, Equity and Inclusion. </w:t>
      </w:r>
      <w:r>
        <w:rPr>
          <w:rFonts w:ascii="Calibri" w:cs="Calibri" w:eastAsia="Calibri" w:hAnsi="Calibri"/>
          <w:sz w:val="24"/>
          <w:szCs w:val="24"/>
        </w:rPr>
        <w:t xml:space="preserve">AI can standardize decisions, yet biased training data can equally entrench discrimination, making governance essential (systematic review on AI's dual impact on DEI, 2025); Accenture's DEI analytics track this tension.</w:t>
      </w:r>
    </w:p>
    <w:p>
      <w:pPr>
        <w:spacing w:after="200" w:line="360" w:lineRule="auto"/>
        <w:jc w:val="both"/>
      </w:pPr>
      <w:r>
        <w:rPr>
          <w:rFonts w:ascii="Calibri" w:cs="Calibri" w:eastAsia="Calibri" w:hAnsi="Calibri"/>
          <w:b/>
          <w:bCs/>
          <w:sz w:val="24"/>
          <w:szCs w:val="24"/>
        </w:rPr>
        <w:t xml:space="preserve">Ethical AI in HR. </w:t>
      </w:r>
      <w:r>
        <w:rPr>
          <w:rFonts w:ascii="Calibri" w:cs="Calibri" w:eastAsia="Calibri" w:hAnsi="Calibri"/>
          <w:sz w:val="24"/>
          <w:szCs w:val="24"/>
        </w:rPr>
        <w:t xml:space="preserve">As algorithms touch hiring, appraisal, and promotion, fairness, transparency, and accountability become central concerns (Varma, Dawkins, &amp; Chaudhuri, 2023), reflected in algorithmic-audit pilots such as Unilever's.</w:t>
      </w:r>
    </w:p>
    <w:p>
      <w:pPr>
        <w:spacing w:after="200" w:line="360" w:lineRule="auto"/>
        <w:jc w:val="both"/>
      </w:pPr>
      <w:r>
        <w:rPr>
          <w:rFonts w:ascii="Calibri" w:cs="Calibri" w:eastAsia="Calibri" w:hAnsi="Calibri"/>
          <w:b w:val="false"/>
          <w:bCs w:val="false"/>
          <w:i w:val="false"/>
          <w:iCs w:val="false"/>
          <w:sz w:val="24"/>
          <w:szCs w:val="24"/>
        </w:rPr>
        <w:t xml:space="preserve">HR AS A CHANGE CATALYST
HR remains indispensable because transformation demands judgment technology cannot supply. Rather than fearing AI, HR must build AI and data literacy to interpret algorithmic outputs, while strengthening the emotional intelligence and ethical reasoning machines cannot replicate. By becoming strategic partners who translate data into human-centered decisions, HR can lead change rather than merely administer it, promoting innovation, employee-centric workplaces, and ethical digital transformation. Professionals who master this dual fluency become architects of transformation, not casualties of it.</w:t>
      </w:r>
    </w:p>
    <w:p>
      <w:pPr>
        <w:spacing w:after="200" w:line="360" w:lineRule="auto"/>
        <w:jc w:val="both"/>
      </w:pPr>
      <w:r>
        <w:rPr>
          <w:rFonts w:ascii="Calibri" w:cs="Calibri" w:eastAsia="Calibri" w:hAnsi="Calibri"/>
          <w:b w:val="false"/>
          <w:bCs w:val="false"/>
          <w:i w:val="false"/>
          <w:iCs w:val="false"/>
          <w:sz w:val="24"/>
          <w:szCs w:val="24"/>
        </w:rPr>
        <w:t xml:space="preserve">CONCLUSION
HR is not disappearing; it is evolving into a more strategic, technology-enabled discipline. Technology automates transactional work but cannot replicate empathy, ethical judgment, or the trust that sustains organizational culture. This is why continuous learning, data fluency, and human-centered leadership will keep HR professionals essential. Organizations that thrive will treat HR not as a function catching up with change, but as the discipline actively architecting it.</w:t>
      </w:r>
    </w:p>
    <w:p>
      <w:r>
        <w:br w:type="page"/>
      </w:r>
    </w:p>
    <w:p>
      <w:pPr>
        <w:pStyle w:val="Heading1"/>
        <w:spacing w:after="200" w:before="300" w:line="360" w:lineRule="auto"/>
      </w:pPr>
      <w:r>
        <w:rPr>
          <w:rFonts w:ascii="Calibri" w:cs="Calibri" w:eastAsia="Calibri" w:hAnsi="Calibri"/>
          <w:b/>
          <w:bCs/>
          <w:color w:val="1F3864"/>
          <w:sz w:val="30"/>
          <w:szCs w:val="30"/>
        </w:rPr>
        <w:t xml:space="preserve">REFERENCES</w:t>
      </w:r>
    </w:p>
    <w:p>
      <w:pPr>
        <w:spacing w:after="160" w:line="360" w:lineRule="auto"/>
        <w:ind w:left="720" w:hanging="720"/>
        <w:jc w:val="both"/>
      </w:pPr>
      <w:r>
        <w:rPr>
          <w:rFonts w:ascii="Calibri" w:cs="Calibri" w:eastAsia="Calibri" w:hAnsi="Calibri"/>
          <w:sz w:val="24"/>
          <w:szCs w:val="24"/>
        </w:rPr>
        <w:t xml:space="preserve">Böhmer, N., &amp; Schinnenburg, H. (2023). Critical exploration of AI-driven HRM to build up organizational capabilities. Employee Relations, 45(5), 1057–1082. https://doi.org/10.1108/ER-04-2022-0202</w:t>
      </w:r>
    </w:p>
    <w:p>
      <w:pPr>
        <w:spacing w:after="160" w:line="360" w:lineRule="auto"/>
        <w:ind w:left="720" w:hanging="720"/>
        <w:jc w:val="both"/>
      </w:pPr>
      <w:r>
        <w:rPr>
          <w:rFonts w:ascii="Calibri" w:cs="Calibri" w:eastAsia="Calibri" w:hAnsi="Calibri"/>
          <w:sz w:val="24"/>
          <w:szCs w:val="24"/>
        </w:rPr>
        <w:t xml:space="preserve">Dutta, S., et al. (2026). Transforming recruitment and selection practices in organizations through discriminative and generative AI adoption: A structuration lens. Human Resource Management. https://doi.org/10.1002/hrm.70018</w:t>
      </w:r>
    </w:p>
    <w:p>
      <w:pPr>
        <w:spacing w:after="160" w:line="360" w:lineRule="auto"/>
        <w:ind w:left="720" w:hanging="720"/>
        <w:jc w:val="both"/>
      </w:pPr>
      <w:r>
        <w:rPr>
          <w:rFonts w:ascii="Calibri" w:cs="Calibri" w:eastAsia="Calibri" w:hAnsi="Calibri"/>
          <w:sz w:val="24"/>
          <w:szCs w:val="24"/>
        </w:rPr>
        <w:t xml:space="preserve">Lee, J. Y., &amp; Lee, Y. (2024). Integrative literature review on people analytics and implications from the perspective of human resource development. Human Resource Development Review, 23(2), 1–28. https://doi.org/10.1177/15344843231217181</w:t>
      </w:r>
    </w:p>
    <w:p>
      <w:pPr>
        <w:spacing w:after="160" w:line="360" w:lineRule="auto"/>
        <w:ind w:left="720" w:hanging="720"/>
        <w:jc w:val="both"/>
      </w:pPr>
      <w:r>
        <w:rPr>
          <w:rFonts w:ascii="Calibri" w:cs="Calibri" w:eastAsia="Calibri" w:hAnsi="Calibri"/>
          <w:sz w:val="24"/>
          <w:szCs w:val="24"/>
        </w:rPr>
        <w:t xml:space="preserve">Mateen, A., et al. (2026). Sustaining employee engagement and wellbeing in hybrid work: Strategic perspectives for HRM professionals. Merits, 6(3), 18. https://doi.org/10.3390/merits6030018</w:t>
      </w:r>
    </w:p>
    <w:p>
      <w:pPr>
        <w:spacing w:after="160" w:line="360" w:lineRule="auto"/>
        <w:ind w:left="720" w:hanging="720"/>
        <w:jc w:val="both"/>
      </w:pPr>
      <w:r>
        <w:rPr>
          <w:rFonts w:ascii="Calibri" w:cs="Calibri" w:eastAsia="Calibri" w:hAnsi="Calibri"/>
          <w:sz w:val="24"/>
          <w:szCs w:val="24"/>
        </w:rPr>
        <w:t xml:space="preserve">Radonjić, A., Duarte, H., &amp; Pereira, N. (2024). Artificial intelligence and HRM: HR managers' perspective on decisiveness and challenges. European Management Journal, 42(1), 57–66. https://doi.org/10.1016/j.emj.2022.07.001</w:t>
      </w:r>
    </w:p>
    <w:p>
      <w:pPr>
        <w:spacing w:after="160" w:line="360" w:lineRule="auto"/>
        <w:ind w:left="720" w:hanging="720"/>
        <w:jc w:val="both"/>
      </w:pPr>
      <w:r>
        <w:rPr>
          <w:rFonts w:ascii="Calibri" w:cs="Calibri" w:eastAsia="Calibri" w:hAnsi="Calibri"/>
          <w:sz w:val="24"/>
          <w:szCs w:val="24"/>
        </w:rPr>
        <w:t xml:space="preserve">Suri, N., &amp; Lakhanpal, P. (2024). People analytics enabling HR strategic partnership: A review. Metamorphosis: A Journal of Management Research, 23(1). https://doi.org/10.1177/23220937221119599</w:t>
      </w:r>
    </w:p>
    <w:p>
      <w:pPr>
        <w:spacing w:after="160" w:line="360" w:lineRule="auto"/>
        <w:ind w:left="720" w:hanging="720"/>
        <w:jc w:val="both"/>
      </w:pPr>
      <w:r>
        <w:rPr>
          <w:rFonts w:ascii="Calibri" w:cs="Calibri" w:eastAsia="Calibri" w:hAnsi="Calibri"/>
          <w:sz w:val="24"/>
          <w:szCs w:val="24"/>
        </w:rPr>
        <w:t xml:space="preserve">Systematic review on artificial intelligence's dual impact on diversity, equity, and inclusion in HRM. (2025). Management Review Quarterly. https://doi.org/10.1007/s11301-025-00580-y</w:t>
      </w:r>
    </w:p>
    <w:p>
      <w:pPr>
        <w:spacing w:after="160" w:line="360" w:lineRule="auto"/>
        <w:ind w:left="720" w:hanging="720"/>
        <w:jc w:val="both"/>
      </w:pPr>
      <w:r>
        <w:rPr>
          <w:rFonts w:ascii="Calibri" w:cs="Calibri" w:eastAsia="Calibri" w:hAnsi="Calibri"/>
          <w:sz w:val="24"/>
          <w:szCs w:val="24"/>
        </w:rPr>
        <w:t xml:space="preserve">Ur Rehman, K., et al. (2025). Reimagining recruitment: Traditional methods meet AI interventions—A 20-year assessment (2003–2023). Cogent Business &amp; Management. https://doi.org/10.1080/23311975.2025.2454319</w:t>
      </w:r>
    </w:p>
    <w:p>
      <w:pPr>
        <w:spacing w:after="160" w:line="360" w:lineRule="auto"/>
        <w:ind w:left="720" w:hanging="720"/>
        <w:jc w:val="both"/>
      </w:pPr>
      <w:r>
        <w:rPr>
          <w:rFonts w:ascii="Calibri" w:cs="Calibri" w:eastAsia="Calibri" w:hAnsi="Calibri"/>
          <w:sz w:val="24"/>
          <w:szCs w:val="24"/>
        </w:rPr>
        <w:t xml:space="preserve">Varma, A., Dawkins, C., &amp; Chaudhuri, K. (2023). Artificial intelligence and people management: A critical assessment through the ethical lens. Human Resource Management Review, 33(1), 100923. https://doi.org/10.1016/j.hrmr.2022.100923</w:t>
      </w:r>
    </w:p>
    <w:p>
      <w:pPr>
        <w:spacing w:after="160" w:line="360" w:lineRule="auto"/>
        <w:ind w:left="720" w:hanging="720"/>
        <w:jc w:val="both"/>
      </w:pPr>
      <w:r>
        <w:rPr>
          <w:rFonts w:ascii="Calibri" w:cs="Calibri" w:eastAsia="Calibri" w:hAnsi="Calibri"/>
          <w:sz w:val="24"/>
          <w:szCs w:val="24"/>
        </w:rPr>
        <w:t xml:space="preserve">Zulfa, F., et al. (2024). Transformative AI in human resource management: Enhancing workforce planning with topic modeling. Cogent Business &amp; Management. https://doi.org/10.1080/23311975.2024.2432550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2026-07-17T07:36:04.000Z</dcterms:created>
  <dcterms:modified xsi:type="dcterms:W3CDTF">2026-07-17T07:36:04.015Z</dcterms:modified>
</cp:coreProperties>
</file>

<file path=docProps/custom.xml><?xml version="1.0" encoding="utf-8"?>
<Properties xmlns="http://schemas.openxmlformats.org/officeDocument/2006/custom-properties" xmlns:vt="http://schemas.openxmlformats.org/officeDocument/2006/docPropsVTypes"/>
</file>