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Playwright + TypeScript – Import Statement (Interview Notes)</w:t>
      </w:r>
    </w:p>
    <w:p>
      <w:r>
        <w:t>Statement:</w:t>
        <w:br/>
      </w:r>
    </w:p>
    <w:p>
      <w:r>
        <w:t>import { test, expect } from '@playwright/test';</w:t>
      </w:r>
    </w:p>
    <w:p>
      <w:r>
        <w:br/>
        <w:t>Purpose:</w:t>
        <w:br/>
        <w:t>Imports core utilities required to define and validate Playwright automated tests.</w:t>
      </w:r>
    </w:p>
    <w:p>
      <w:r>
        <w:br/>
        <w:t>Keyword Breakdown:</w:t>
        <w:br/>
        <w:t>import – Loads exported members from another module.</w:t>
        <w:br/>
        <w:t>test – Defines and executes a test case with fixtures.</w:t>
        <w:br/>
        <w:t>expect – Assertion library to validate application behavior.</w:t>
        <w:br/>
        <w:t>from – Specifies the source module.</w:t>
        <w:br/>
        <w:t>@playwright/test – Official Playwright test runner package.</w:t>
      </w:r>
    </w:p>
    <w:p>
      <w:r>
        <w:br/>
        <w:t>Why It Is Required:</w:t>
        <w:br/>
        <w:t>- Enables test execution</w:t>
        <w:br/>
        <w:t>- Supports assertions</w:t>
        <w:br/>
        <w:t>- Provides TypeScript type safety</w:t>
        <w:br/>
        <w:t>- Mandatory for Playwright test files</w:t>
      </w:r>
    </w:p>
    <w:p>
      <w:r>
        <w:br/>
        <w:t>Example:</w:t>
        <w:br/>
        <w:t>test('verify title', async ({ page }) =&gt; {</w:t>
        <w:br/>
        <w:t xml:space="preserve">  await page.goto('https://example.com');</w:t>
        <w:br/>
        <w:t xml:space="preserve">  await expect(page).toHaveTitle('Example Domain');</w:t>
        <w:br/>
        <w:t>});</w:t>
      </w:r>
    </w:p>
    <w:p>
      <w:r>
        <w:br/>
        <w:t>Interview One-Liner:</w:t>
        <w:br/>
        <w:t>This import statement brings Playwright’s test runner and assertion utilities to write automated browser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