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343BC" w14:textId="77777777" w:rsidR="000C17D0" w:rsidRPr="000C17D0" w:rsidRDefault="000C17D0" w:rsidP="000C17D0">
      <w:pPr>
        <w:shd w:val="clear" w:color="auto" w:fill="FFFFFF"/>
        <w:spacing w:after="100" w:afterAutospacing="1" w:line="240" w:lineRule="auto"/>
        <w:outlineLvl w:val="0"/>
        <w:rPr>
          <w:rFonts w:ascii="Arial" w:eastAsia="Times New Roman" w:hAnsi="Arial" w:cs="Arial"/>
          <w:color w:val="000000"/>
          <w:kern w:val="36"/>
          <w:sz w:val="48"/>
          <w:szCs w:val="48"/>
          <w14:ligatures w14:val="none"/>
        </w:rPr>
      </w:pPr>
      <w:r w:rsidRPr="000C17D0">
        <w:rPr>
          <w:rFonts w:ascii="Arial" w:eastAsia="Times New Roman" w:hAnsi="Arial" w:cs="Arial"/>
          <w:color w:val="000000"/>
          <w:kern w:val="36"/>
          <w:sz w:val="48"/>
          <w:szCs w:val="48"/>
          <w14:ligatures w14:val="none"/>
        </w:rPr>
        <w:t>What is the importance of data quality in AI implementation</w:t>
      </w:r>
    </w:p>
    <w:p w14:paraId="6E2A46F4"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AI models learn from the data they receive — every pattern, every gap, every inconsistency. When that data is accurate and well-structured, AI delivers reliable outputs that teams can trust. When it's not, the problems compound fast and at scale.</w:t>
      </w:r>
    </w:p>
    <w:p w14:paraId="66F0FFAA"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Most enterprise AI initiatives don't fail because of flawed algorithms or insufficient compute power. They fail because the data underneath isn't ready. According to research from the IBM Institute for Business Value, only 16% of AI initiatives have successfully scaled across the enterprise, and data quality is consistently cited as a primary differentiator between organizations that scale and those that stall.</w:t>
      </w:r>
    </w:p>
    <w:p w14:paraId="468D14B8"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This guide breaks down what data quality means in the context of AI, why it matters so much for enterprise success, and how to build the practices that keep your AI systems reliable long after deployment.</w:t>
      </w:r>
    </w:p>
    <w:p w14:paraId="2D60A944" w14:textId="77777777" w:rsidR="000C17D0" w:rsidRPr="000C17D0" w:rsidRDefault="000C17D0" w:rsidP="000C17D0">
      <w:pPr>
        <w:shd w:val="clear" w:color="auto" w:fill="FFFFFF"/>
        <w:spacing w:before="100" w:beforeAutospacing="1" w:after="100" w:afterAutospacing="1" w:line="240" w:lineRule="auto"/>
        <w:outlineLvl w:val="1"/>
        <w:rPr>
          <w:rFonts w:ascii="Arial" w:eastAsia="Times New Roman" w:hAnsi="Arial" w:cs="Arial"/>
          <w:color w:val="000000"/>
          <w:kern w:val="0"/>
          <w:sz w:val="36"/>
          <w:szCs w:val="36"/>
          <w14:ligatures w14:val="none"/>
        </w:rPr>
      </w:pPr>
      <w:r w:rsidRPr="000C17D0">
        <w:rPr>
          <w:rFonts w:ascii="Arial" w:eastAsia="Times New Roman" w:hAnsi="Arial" w:cs="Arial"/>
          <w:color w:val="000000"/>
          <w:kern w:val="0"/>
          <w:sz w:val="36"/>
          <w:szCs w:val="36"/>
          <w14:ligatures w14:val="none"/>
        </w:rPr>
        <w:t>What is data quality in AI?</w:t>
      </w:r>
    </w:p>
    <w:p w14:paraId="704A680C"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Data quality in AI refers to the degree to which an organization's data is accurate, complete, consistent, timely, and fit for use across the entire AI lifecycle — from training and validation to deployment and ongoing operation. The concept isn't new; businesses have always cared about clean records for reporting and compliance. But AI raises the stakes considerably. Traditional data quality asks whether a record is correct. AI data quality asks whether the data can teach a model to make sound decisions.</w:t>
      </w:r>
    </w:p>
    <w:p w14:paraId="71868619"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The distinction matters because AI models don't just display data — they consume it, learn from it, and act on it. A dashboard with a few stale records is an inconvenience. A machine learning model trained on stale records is a liability. The principle holds across every AI application: high-quality data in, reliable outputs out. Poor-quality data in, compounding errors out.</w:t>
      </w:r>
    </w:p>
    <w:p w14:paraId="50D362F2" w14:textId="77777777" w:rsidR="000C17D0" w:rsidRPr="000C17D0" w:rsidRDefault="000C17D0" w:rsidP="000C17D0">
      <w:pPr>
        <w:shd w:val="clear" w:color="auto" w:fill="FFFFFF"/>
        <w:spacing w:before="100" w:beforeAutospacing="1" w:after="100" w:afterAutospacing="1" w:line="240" w:lineRule="auto"/>
        <w:outlineLvl w:val="2"/>
        <w:rPr>
          <w:rFonts w:ascii="Arial" w:eastAsia="Times New Roman" w:hAnsi="Arial" w:cs="Arial"/>
          <w:color w:val="000000"/>
          <w:kern w:val="0"/>
          <w:sz w:val="27"/>
          <w:szCs w:val="27"/>
          <w14:ligatures w14:val="none"/>
        </w:rPr>
      </w:pPr>
      <w:r w:rsidRPr="000C17D0">
        <w:rPr>
          <w:rFonts w:ascii="Arial" w:eastAsia="Times New Roman" w:hAnsi="Arial" w:cs="Arial"/>
          <w:color w:val="000000"/>
          <w:kern w:val="0"/>
          <w:sz w:val="27"/>
          <w:szCs w:val="27"/>
          <w14:ligatures w14:val="none"/>
        </w:rPr>
        <w:t>Beyond traditional data quality dimensions</w:t>
      </w:r>
    </w:p>
    <w:p w14:paraId="5887AD1D"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AI data quality encompasses several dimensions that traditional data management often overlooks:</w:t>
      </w:r>
    </w:p>
    <w:p w14:paraId="68090B26" w14:textId="77777777" w:rsidR="000C17D0" w:rsidRPr="000C17D0" w:rsidRDefault="000C17D0" w:rsidP="000C17D0">
      <w:pPr>
        <w:numPr>
          <w:ilvl w:val="0"/>
          <w:numId w:val="1"/>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Representativeness</w:t>
      </w:r>
      <w:r w:rsidRPr="000C17D0">
        <w:rPr>
          <w:rFonts w:ascii="Arial" w:eastAsia="Times New Roman" w:hAnsi="Arial" w:cs="Arial"/>
          <w:color w:val="4B4B4B"/>
          <w:kern w:val="0"/>
          <w14:ligatures w14:val="none"/>
        </w:rPr>
        <w:t>: Training data must cover the full range of scenarios, populations, and edge cases the model will encounter in production. A dataset that reflects only the most common situations will produce a model that fails on everything else.</w:t>
      </w:r>
    </w:p>
    <w:p w14:paraId="3DFD93EF" w14:textId="77777777" w:rsidR="000C17D0" w:rsidRPr="000C17D0" w:rsidRDefault="000C17D0" w:rsidP="000C17D0">
      <w:pPr>
        <w:numPr>
          <w:ilvl w:val="0"/>
          <w:numId w:val="1"/>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Label accuracy</w:t>
      </w:r>
      <w:r w:rsidRPr="000C17D0">
        <w:rPr>
          <w:rFonts w:ascii="Arial" w:eastAsia="Times New Roman" w:hAnsi="Arial" w:cs="Arial"/>
          <w:color w:val="4B4B4B"/>
          <w:kern w:val="0"/>
          <w14:ligatures w14:val="none"/>
        </w:rPr>
        <w:t>: Supervised learning depends on correctly labeled examples. Inconsistent or ambiguous labels — common when multiple teams contribute to annotation — teach models to replicate human disagreements at scale.</w:t>
      </w:r>
    </w:p>
    <w:p w14:paraId="44211D94" w14:textId="77777777" w:rsidR="000C17D0" w:rsidRPr="000C17D0" w:rsidRDefault="000C17D0" w:rsidP="000C17D0">
      <w:pPr>
        <w:numPr>
          <w:ilvl w:val="0"/>
          <w:numId w:val="1"/>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lastRenderedPageBreak/>
        <w:t>Bias</w:t>
      </w:r>
      <w:r w:rsidRPr="000C17D0">
        <w:rPr>
          <w:rFonts w:ascii="Arial" w:eastAsia="Times New Roman" w:hAnsi="Arial" w:cs="Arial"/>
          <w:color w:val="4B4B4B"/>
          <w:kern w:val="0"/>
          <w14:ligatures w14:val="none"/>
        </w:rPr>
        <w:t>: Historical data carries historical biases. Amazon's abandoned AI recruiting tool demonstrated this vividly; the system penalized resumes that included terms associated with women because it learned from a decade of male-dominated hiring patterns. Without deliberate intervention, AI encodes and amplifies these patterns.</w:t>
      </w:r>
    </w:p>
    <w:p w14:paraId="457883DE" w14:textId="77777777" w:rsidR="000C17D0" w:rsidRPr="000C17D0" w:rsidRDefault="000C17D0" w:rsidP="000C17D0">
      <w:pPr>
        <w:numPr>
          <w:ilvl w:val="0"/>
          <w:numId w:val="1"/>
        </w:numPr>
        <w:shd w:val="clear" w:color="auto" w:fill="FFFFFF"/>
        <w:spacing w:before="100" w:beforeAutospacing="1" w:after="0"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Noise</w:t>
      </w:r>
      <w:r w:rsidRPr="000C17D0">
        <w:rPr>
          <w:rFonts w:ascii="Arial" w:eastAsia="Times New Roman" w:hAnsi="Arial" w:cs="Arial"/>
          <w:color w:val="4B4B4B"/>
          <w:kern w:val="0"/>
          <w14:ligatures w14:val="none"/>
        </w:rPr>
        <w:t>: Irrelevant or redundant information — short Slack messages without context, duplicate records, inconsistent formatting across departments — degrades a model's ability to identify meaningful signals.</w:t>
      </w:r>
    </w:p>
    <w:p w14:paraId="3B67B1F7" w14:textId="77777777" w:rsidR="000C17D0" w:rsidRPr="000C17D0" w:rsidRDefault="000C17D0" w:rsidP="000C17D0">
      <w:pPr>
        <w:shd w:val="clear" w:color="auto" w:fill="FFFFFF"/>
        <w:spacing w:before="100" w:beforeAutospacing="1" w:after="100" w:afterAutospacing="1" w:line="240" w:lineRule="auto"/>
        <w:outlineLvl w:val="2"/>
        <w:rPr>
          <w:rFonts w:ascii="Arial" w:eastAsia="Times New Roman" w:hAnsi="Arial" w:cs="Arial"/>
          <w:color w:val="000000"/>
          <w:kern w:val="0"/>
          <w:sz w:val="27"/>
          <w:szCs w:val="27"/>
          <w14:ligatures w14:val="none"/>
        </w:rPr>
      </w:pPr>
      <w:r w:rsidRPr="000C17D0">
        <w:rPr>
          <w:rFonts w:ascii="Arial" w:eastAsia="Times New Roman" w:hAnsi="Arial" w:cs="Arial"/>
          <w:color w:val="000000"/>
          <w:kern w:val="0"/>
          <w:sz w:val="27"/>
          <w:szCs w:val="27"/>
          <w14:ligatures w14:val="none"/>
        </w:rPr>
        <w:t>The enterprise connector problem</w:t>
      </w:r>
    </w:p>
    <w:p w14:paraId="1423342A"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For enterprise AI systems that pull from dozens or hundreds of upstream applications, data quality also depends heavily on connector quality. A source system can contain perfectly clean data, but if the connector that ingests it has poor sync frequency, misses metadata, drops permission boundaries, or fails to deduplicate across systems, the downstream AI effectively operates on low-quality data.</w:t>
      </w:r>
    </w:p>
    <w:p w14:paraId="2594E429"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This is especially relevant for organizations with distributed knowledge spread across SaaS tools, internal wikis, ticketing systems, and communication platforms. Connector coverage, sync latency, schema fidelity, and permission mapping all become measurable data quality dimensions — not just infrastructure concerns. Platforms that provide enterprise AI search and retrieval, such as Glean, treat connector integrity as a first-class component of data quality for exactly this reason.</w:t>
      </w:r>
    </w:p>
    <w:p w14:paraId="5C01B583"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Organizations that treat data quality as a foundational discipline — not a one-time cleanup project — are far better positioned to see real returns from their AI investments. The gap between AI initiatives that deliver value and those that stall almost always traces back to this foundation.</w:t>
      </w:r>
    </w:p>
    <w:p w14:paraId="489D3A68" w14:textId="77777777" w:rsidR="000C17D0" w:rsidRPr="000C17D0" w:rsidRDefault="000C17D0" w:rsidP="000C17D0">
      <w:pPr>
        <w:shd w:val="clear" w:color="auto" w:fill="FFFFFF"/>
        <w:spacing w:before="100" w:beforeAutospacing="1" w:after="100" w:afterAutospacing="1" w:line="240" w:lineRule="auto"/>
        <w:outlineLvl w:val="1"/>
        <w:rPr>
          <w:rFonts w:ascii="Arial" w:eastAsia="Times New Roman" w:hAnsi="Arial" w:cs="Arial"/>
          <w:color w:val="000000"/>
          <w:kern w:val="0"/>
          <w:sz w:val="36"/>
          <w:szCs w:val="36"/>
          <w14:ligatures w14:val="none"/>
        </w:rPr>
      </w:pPr>
      <w:r w:rsidRPr="000C17D0">
        <w:rPr>
          <w:rFonts w:ascii="Arial" w:eastAsia="Times New Roman" w:hAnsi="Arial" w:cs="Arial"/>
          <w:color w:val="000000"/>
          <w:kern w:val="0"/>
          <w:sz w:val="36"/>
          <w:szCs w:val="36"/>
          <w14:ligatures w14:val="none"/>
        </w:rPr>
        <w:t>Why is data quality critical for AI success?</w:t>
      </w:r>
    </w:p>
    <w:p w14:paraId="52D67D20"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AI systems treat inputs as literal signals. A mislabeled example, a shifted schema, or a quietly truncated field can steer a model toward spurious correlations—then that behavior shows up everywhere the model runs. In enterprise settings, those defects often hide inside routine data flows: CRM exports, ticket fields, HR rosters, policy docs, and chat transcripts.</w:t>
      </w:r>
    </w:p>
    <w:p w14:paraId="098B0A32"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High-performing AI programs share one operational advantage: disciplined data control. Clear definitions, dataset lineage, and enforced standards make model behavior reproducible across retrains, audits, and incident reviews. Without that backbone, teams spend cycles on diagnosis instead of progress, and every new use case inherits the same uncertainty.</w:t>
      </w:r>
    </w:p>
    <w:p w14:paraId="3612E446" w14:textId="77777777" w:rsidR="000C17D0" w:rsidRPr="000C17D0" w:rsidRDefault="000C17D0" w:rsidP="000C17D0">
      <w:pPr>
        <w:shd w:val="clear" w:color="auto" w:fill="FFFFFF"/>
        <w:spacing w:before="100" w:beforeAutospacing="1" w:after="100" w:afterAutospacing="1" w:line="240" w:lineRule="auto"/>
        <w:outlineLvl w:val="2"/>
        <w:rPr>
          <w:rFonts w:ascii="Arial" w:eastAsia="Times New Roman" w:hAnsi="Arial" w:cs="Arial"/>
          <w:color w:val="000000"/>
          <w:kern w:val="0"/>
          <w:sz w:val="27"/>
          <w:szCs w:val="27"/>
          <w14:ligatures w14:val="none"/>
        </w:rPr>
      </w:pPr>
      <w:r w:rsidRPr="000C17D0">
        <w:rPr>
          <w:rFonts w:ascii="Arial" w:eastAsia="Times New Roman" w:hAnsi="Arial" w:cs="Arial"/>
          <w:color w:val="000000"/>
          <w:kern w:val="0"/>
          <w:sz w:val="27"/>
          <w:szCs w:val="27"/>
          <w14:ligatures w14:val="none"/>
        </w:rPr>
        <w:t>Data quality determines what AI can “know” at work</w:t>
      </w:r>
    </w:p>
    <w:p w14:paraId="0DCC2F8B"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lastRenderedPageBreak/>
        <w:t>For AI search, assistants, and RAG pipelines, retrieval quality sets the ceiling for answer quality. Embeddings, rerankers, and citation systems depend on clean text, stable metadata, and reliable document boundaries; messy inputs lead to irrelevant context, weak grounding, and brittle answers that sound confident but cite the wrong material.</w:t>
      </w:r>
    </w:p>
    <w:p w14:paraId="6D48A05D"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Three data attributes matter most in day-to-day enterprise retrieval:</w:t>
      </w:r>
    </w:p>
    <w:p w14:paraId="163D0AD2" w14:textId="77777777" w:rsidR="000C17D0" w:rsidRPr="000C17D0" w:rsidRDefault="000C17D0" w:rsidP="000C17D0">
      <w:pPr>
        <w:numPr>
          <w:ilvl w:val="0"/>
          <w:numId w:val="2"/>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Source integrity and document shape</w:t>
      </w:r>
      <w:r w:rsidRPr="000C17D0">
        <w:rPr>
          <w:rFonts w:ascii="Arial" w:eastAsia="Times New Roman" w:hAnsi="Arial" w:cs="Arial"/>
          <w:color w:val="4B4B4B"/>
          <w:kern w:val="0"/>
          <w14:ligatures w14:val="none"/>
        </w:rPr>
        <w:t>: Stable titles, authors, timestamps, and section structure improve chunking, indexing, and reranking; inconsistent formatting or collapsed threads reduce signal for relevance.</w:t>
      </w:r>
    </w:p>
    <w:p w14:paraId="3ED4D782" w14:textId="77777777" w:rsidR="000C17D0" w:rsidRPr="000C17D0" w:rsidRDefault="000C17D0" w:rsidP="000C17D0">
      <w:pPr>
        <w:numPr>
          <w:ilvl w:val="0"/>
          <w:numId w:val="2"/>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Business context fields that stay consistent</w:t>
      </w:r>
      <w:r w:rsidRPr="000C17D0">
        <w:rPr>
          <w:rFonts w:ascii="Arial" w:eastAsia="Times New Roman" w:hAnsi="Arial" w:cs="Arial"/>
          <w:color w:val="4B4B4B"/>
          <w:kern w:val="0"/>
          <w14:ligatures w14:val="none"/>
        </w:rPr>
        <w:t>: Team names, product names, customer identifiers, and ticket taxonomies must align across systems; mismatched terms block precise retrieval and degrade cross-system context.</w:t>
      </w:r>
    </w:p>
    <w:p w14:paraId="065C5911" w14:textId="77777777" w:rsidR="000C17D0" w:rsidRPr="000C17D0" w:rsidRDefault="000C17D0" w:rsidP="000C17D0">
      <w:pPr>
        <w:numPr>
          <w:ilvl w:val="0"/>
          <w:numId w:val="2"/>
        </w:numPr>
        <w:shd w:val="clear" w:color="auto" w:fill="FFFFFF"/>
        <w:spacing w:before="100" w:beforeAutospacing="1" w:after="0"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Policy enforcement as a correctness constraint</w:t>
      </w:r>
      <w:r w:rsidRPr="000C17D0">
        <w:rPr>
          <w:rFonts w:ascii="Arial" w:eastAsia="Times New Roman" w:hAnsi="Arial" w:cs="Arial"/>
          <w:color w:val="4B4B4B"/>
          <w:kern w:val="0"/>
          <w14:ligatures w14:val="none"/>
        </w:rPr>
        <w:t>: Retrieval must honor access rules end to end; a response that ignores those rules fails the core requirement of “right information to the right person.”</w:t>
      </w:r>
    </w:p>
    <w:p w14:paraId="1FD1958E" w14:textId="77777777" w:rsidR="000C17D0" w:rsidRPr="000C17D0" w:rsidRDefault="000C17D0" w:rsidP="000C17D0">
      <w:pPr>
        <w:shd w:val="clear" w:color="auto" w:fill="FFFFFF"/>
        <w:spacing w:before="100" w:beforeAutospacing="1" w:after="100" w:afterAutospacing="1" w:line="240" w:lineRule="auto"/>
        <w:outlineLvl w:val="2"/>
        <w:rPr>
          <w:rFonts w:ascii="Arial" w:eastAsia="Times New Roman" w:hAnsi="Arial" w:cs="Arial"/>
          <w:color w:val="000000"/>
          <w:kern w:val="0"/>
          <w:sz w:val="27"/>
          <w:szCs w:val="27"/>
          <w14:ligatures w14:val="none"/>
        </w:rPr>
      </w:pPr>
      <w:r w:rsidRPr="000C17D0">
        <w:rPr>
          <w:rFonts w:ascii="Arial" w:eastAsia="Times New Roman" w:hAnsi="Arial" w:cs="Arial"/>
          <w:color w:val="000000"/>
          <w:kern w:val="0"/>
          <w:sz w:val="27"/>
          <w:szCs w:val="27"/>
          <w14:ligatures w14:val="none"/>
        </w:rPr>
        <w:t>Reliable AI requires cross-department confidence, not isolated accuracy</w:t>
      </w:r>
    </w:p>
    <w:p w14:paraId="46631ACA"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Enterprise AI rarely serves one team in isolation. Engineering needs accurate incident context; support needs verified troubleshooting steps; sales needs current account facts; HR and IT need correct policy and process guidance. Data gaps in any one stream can spill into adjacent workflows—especially when AI outputs become shared inputs, such as summaries, handoffs, and automated updates.</w:t>
      </w:r>
    </w:p>
    <w:p w14:paraId="630785AE"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Data quality also shapes operational risk and compliance posture. Frameworks such as the NIST AI Risk Management Framework and OECD AI principles stress traceability, robustness, and accountability; those goals become difficult when training and source data lack clear provenance, consistent definitions, or reliable coverage across real-world cases.</w:t>
      </w:r>
    </w:p>
    <w:p w14:paraId="32A05D4C" w14:textId="77777777" w:rsidR="000C17D0" w:rsidRPr="000C17D0" w:rsidRDefault="000C17D0" w:rsidP="000C17D0">
      <w:pPr>
        <w:shd w:val="clear" w:color="auto" w:fill="FFFFFF"/>
        <w:spacing w:before="100" w:beforeAutospacing="1" w:after="100" w:afterAutospacing="1" w:line="240" w:lineRule="auto"/>
        <w:outlineLvl w:val="2"/>
        <w:rPr>
          <w:rFonts w:ascii="Arial" w:eastAsia="Times New Roman" w:hAnsi="Arial" w:cs="Arial"/>
          <w:color w:val="000000"/>
          <w:kern w:val="0"/>
          <w:sz w:val="27"/>
          <w:szCs w:val="27"/>
          <w14:ligatures w14:val="none"/>
        </w:rPr>
      </w:pPr>
      <w:r w:rsidRPr="000C17D0">
        <w:rPr>
          <w:rFonts w:ascii="Arial" w:eastAsia="Times New Roman" w:hAnsi="Arial" w:cs="Arial"/>
          <w:color w:val="000000"/>
          <w:kern w:val="0"/>
          <w:sz w:val="27"/>
          <w:szCs w:val="27"/>
          <w14:ligatures w14:val="none"/>
        </w:rPr>
        <w:t>Evaluation frameworks expose data quality problems early</w:t>
      </w:r>
    </w:p>
    <w:p w14:paraId="4D27F477"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Modern AI teams treat evaluation as a production system, not a one-time test. Automated evaluators and agent evaluation methods score retrieval relevance, groundedness, and task success across scenario sets and data slices; those scores pinpoint where data defects—not model choice—cause failures.</w:t>
      </w:r>
    </w:p>
    <w:p w14:paraId="10DA5A7E"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Evaluation can also reduce guesswork in quality debates. In one internal comparison described in industry research, human raters agreed with each other only 79% of the time on response quality, while an AI evaluator matched that agreement rate closely at 74%. That gap clarifies why calibrated automated evaluation, paired with targeted human review, can surface data issues faster than ad hoc feedback—especially when inputs shift over time and model performance depends on stable, well-defined data.</w:t>
      </w:r>
    </w:p>
    <w:p w14:paraId="23CE3E69" w14:textId="77777777" w:rsidR="000C17D0" w:rsidRPr="000C17D0" w:rsidRDefault="000C17D0" w:rsidP="000C17D0">
      <w:pPr>
        <w:shd w:val="clear" w:color="auto" w:fill="FFFFFF"/>
        <w:spacing w:before="100" w:beforeAutospacing="1" w:after="100" w:afterAutospacing="1" w:line="240" w:lineRule="auto"/>
        <w:outlineLvl w:val="1"/>
        <w:rPr>
          <w:rFonts w:ascii="Arial" w:eastAsia="Times New Roman" w:hAnsi="Arial" w:cs="Arial"/>
          <w:color w:val="000000"/>
          <w:kern w:val="0"/>
          <w:sz w:val="36"/>
          <w:szCs w:val="36"/>
          <w14:ligatures w14:val="none"/>
        </w:rPr>
      </w:pPr>
      <w:r w:rsidRPr="000C17D0">
        <w:rPr>
          <w:rFonts w:ascii="Arial" w:eastAsia="Times New Roman" w:hAnsi="Arial" w:cs="Arial"/>
          <w:color w:val="000000"/>
          <w:kern w:val="0"/>
          <w:sz w:val="36"/>
          <w:szCs w:val="36"/>
          <w14:ligatures w14:val="none"/>
        </w:rPr>
        <w:lastRenderedPageBreak/>
        <w:t>What are the consequences of poor data quality in AI?</w:t>
      </w:r>
    </w:p>
    <w:p w14:paraId="3A3D032F"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Low-quality inputs create failure modes that look like product issues but originate in the dataset: inconsistent definitions, missing fields, duplicated entities, and partial source coverage. Those issues force AI systems to rely on weak signals, which increases variance across teams, regions, and edge cases.</w:t>
      </w:r>
    </w:p>
    <w:p w14:paraId="51AFEF06"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The most damaging outcome tends to be organizational whiplash. One group adapts the system to fit its local data quirks, another group sees different behavior from the same tool, and leadership loses a stable basis for standard processes.</w:t>
      </w:r>
    </w:p>
    <w:p w14:paraId="6571A7EC" w14:textId="77777777" w:rsidR="000C17D0" w:rsidRPr="000C17D0" w:rsidRDefault="000C17D0" w:rsidP="000C17D0">
      <w:pPr>
        <w:shd w:val="clear" w:color="auto" w:fill="FFFFFF"/>
        <w:spacing w:before="100" w:beforeAutospacing="1" w:after="100" w:afterAutospacing="1" w:line="240" w:lineRule="auto"/>
        <w:outlineLvl w:val="2"/>
        <w:rPr>
          <w:rFonts w:ascii="Arial" w:eastAsia="Times New Roman" w:hAnsi="Arial" w:cs="Arial"/>
          <w:color w:val="000000"/>
          <w:kern w:val="0"/>
          <w:sz w:val="27"/>
          <w:szCs w:val="27"/>
          <w14:ligatures w14:val="none"/>
        </w:rPr>
      </w:pPr>
      <w:r w:rsidRPr="000C17D0">
        <w:rPr>
          <w:rFonts w:ascii="Arial" w:eastAsia="Times New Roman" w:hAnsi="Arial" w:cs="Arial"/>
          <w:color w:val="000000"/>
          <w:kern w:val="0"/>
          <w:sz w:val="27"/>
          <w:szCs w:val="27"/>
          <w14:ligatures w14:val="none"/>
        </w:rPr>
        <w:t>Bias, brittleness, and uneven performance across the business</w:t>
      </w:r>
    </w:p>
    <w:p w14:paraId="5443F468"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When enterprise datasets reflect only a narrow slice of reality, AI outputs favor that slice. Gaps show up as sharp performance cliffs in scenarios that matter—new product lines, uncommon incident types, non-standard contract terms, or smaller geographies.</w:t>
      </w:r>
    </w:p>
    <w:p w14:paraId="4E04144B" w14:textId="77777777" w:rsidR="000C17D0" w:rsidRPr="000C17D0" w:rsidRDefault="000C17D0" w:rsidP="000C17D0">
      <w:pPr>
        <w:numPr>
          <w:ilvl w:val="0"/>
          <w:numId w:val="3"/>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Hidden bias through proxy fields</w:t>
      </w:r>
      <w:r w:rsidRPr="000C17D0">
        <w:rPr>
          <w:rFonts w:ascii="Arial" w:eastAsia="Times New Roman" w:hAnsi="Arial" w:cs="Arial"/>
          <w:color w:val="4B4B4B"/>
          <w:kern w:val="0"/>
          <w14:ligatures w14:val="none"/>
        </w:rPr>
        <w:t>: Seemingly neutral attributes (location, tenure band, channel, device type) can stand in for protected classes or sensitive categories; the model then reproduces skewed outcomes without an explicit “bias feature.”</w:t>
      </w:r>
    </w:p>
    <w:p w14:paraId="0D8B6B46" w14:textId="77777777" w:rsidR="000C17D0" w:rsidRPr="000C17D0" w:rsidRDefault="000C17D0" w:rsidP="000C17D0">
      <w:pPr>
        <w:numPr>
          <w:ilvl w:val="0"/>
          <w:numId w:val="3"/>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Blind spots from missingness</w:t>
      </w:r>
      <w:r w:rsidRPr="000C17D0">
        <w:rPr>
          <w:rFonts w:ascii="Arial" w:eastAsia="Times New Roman" w:hAnsi="Arial" w:cs="Arial"/>
          <w:color w:val="4B4B4B"/>
          <w:kern w:val="0"/>
          <w14:ligatures w14:val="none"/>
        </w:rPr>
        <w:t>: Sparse fields, partial forms, and optional metadata reduce coverage for rare but high-impact cases; accuracy looks fine on averages but drops on critical slices.</w:t>
      </w:r>
    </w:p>
    <w:p w14:paraId="389F10BB" w14:textId="77777777" w:rsidR="000C17D0" w:rsidRPr="000C17D0" w:rsidRDefault="000C17D0" w:rsidP="000C17D0">
      <w:pPr>
        <w:numPr>
          <w:ilvl w:val="0"/>
          <w:numId w:val="3"/>
        </w:numPr>
        <w:shd w:val="clear" w:color="auto" w:fill="FFFFFF"/>
        <w:spacing w:before="100" w:beforeAutospacing="1" w:after="0"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Overweight signal from duplicates</w:t>
      </w:r>
      <w:r w:rsidRPr="000C17D0">
        <w:rPr>
          <w:rFonts w:ascii="Arial" w:eastAsia="Times New Roman" w:hAnsi="Arial" w:cs="Arial"/>
          <w:color w:val="4B4B4B"/>
          <w:kern w:val="0"/>
          <w14:ligatures w14:val="none"/>
        </w:rPr>
        <w:t>: Repeated records, copied templates, and mirrored knowledge articles amplify a single viewpoint; recommendations drift toward the most duplicated content rather than the most correct content.</w:t>
      </w:r>
    </w:p>
    <w:p w14:paraId="4951A788" w14:textId="77777777" w:rsidR="000C17D0" w:rsidRPr="000C17D0" w:rsidRDefault="000C17D0" w:rsidP="000C17D0">
      <w:pPr>
        <w:shd w:val="clear" w:color="auto" w:fill="FFFFFF"/>
        <w:spacing w:before="100" w:beforeAutospacing="1" w:after="100" w:afterAutospacing="1" w:line="240" w:lineRule="auto"/>
        <w:outlineLvl w:val="2"/>
        <w:rPr>
          <w:rFonts w:ascii="Arial" w:eastAsia="Times New Roman" w:hAnsi="Arial" w:cs="Arial"/>
          <w:color w:val="000000"/>
          <w:kern w:val="0"/>
          <w:sz w:val="27"/>
          <w:szCs w:val="27"/>
          <w14:ligatures w14:val="none"/>
        </w:rPr>
      </w:pPr>
      <w:r w:rsidRPr="000C17D0">
        <w:rPr>
          <w:rFonts w:ascii="Arial" w:eastAsia="Times New Roman" w:hAnsi="Arial" w:cs="Arial"/>
          <w:color w:val="000000"/>
          <w:kern w:val="0"/>
          <w:sz w:val="27"/>
          <w:szCs w:val="27"/>
          <w14:ligatures w14:val="none"/>
        </w:rPr>
        <w:t>Operational drag in search, recommendations, and customer-facing work</w:t>
      </w:r>
    </w:p>
    <w:p w14:paraId="5C94DED3"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Poor data quality degrades retrieval and ranking in a very specific way: the system retrieves “plausible” context that lacks the decisive detail a user needs. The result becomes extra verification work, slower handoffs, and more escalations—especially in support and IT workflows that depend on precise steps and current policy.</w:t>
      </w:r>
    </w:p>
    <w:p w14:paraId="56353D5C"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Typical operational symptoms include:</w:t>
      </w:r>
    </w:p>
    <w:p w14:paraId="537FE42A" w14:textId="77777777" w:rsidR="000C17D0" w:rsidRPr="000C17D0" w:rsidRDefault="000C17D0" w:rsidP="000C17D0">
      <w:pPr>
        <w:numPr>
          <w:ilvl w:val="0"/>
          <w:numId w:val="4"/>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Ranking that favors noise</w:t>
      </w:r>
      <w:r w:rsidRPr="000C17D0">
        <w:rPr>
          <w:rFonts w:ascii="Arial" w:eastAsia="Times New Roman" w:hAnsi="Arial" w:cs="Arial"/>
          <w:color w:val="4B4B4B"/>
          <w:kern w:val="0"/>
          <w14:ligatures w14:val="none"/>
        </w:rPr>
        <w:t>: Redundant pages and near-duplicate tickets crowd out the authoritative source; teams receive long result lists with weak signal density.</w:t>
      </w:r>
    </w:p>
    <w:p w14:paraId="6C60EEC1" w14:textId="77777777" w:rsidR="000C17D0" w:rsidRPr="000C17D0" w:rsidRDefault="000C17D0" w:rsidP="000C17D0">
      <w:pPr>
        <w:numPr>
          <w:ilvl w:val="0"/>
          <w:numId w:val="4"/>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Context fragmentation across systems</w:t>
      </w:r>
      <w:r w:rsidRPr="000C17D0">
        <w:rPr>
          <w:rFonts w:ascii="Arial" w:eastAsia="Times New Roman" w:hAnsi="Arial" w:cs="Arial"/>
          <w:color w:val="4B4B4B"/>
          <w:kern w:val="0"/>
          <w14:ligatures w14:val="none"/>
        </w:rPr>
        <w:t>: Disconnected records prevent a clean join between customer history, ticket updates, product changes, and internal decisions; the AI response misses key dependencies because the underlying data cannot connect.</w:t>
      </w:r>
    </w:p>
    <w:p w14:paraId="5DB45799" w14:textId="77777777" w:rsidR="000C17D0" w:rsidRPr="000C17D0" w:rsidRDefault="000C17D0" w:rsidP="000C17D0">
      <w:pPr>
        <w:numPr>
          <w:ilvl w:val="0"/>
          <w:numId w:val="4"/>
        </w:numPr>
        <w:shd w:val="clear" w:color="auto" w:fill="FFFFFF"/>
        <w:spacing w:before="100" w:beforeAutospacing="1" w:after="0"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lastRenderedPageBreak/>
        <w:t>Recommendation drift</w:t>
      </w:r>
      <w:r w:rsidRPr="000C17D0">
        <w:rPr>
          <w:rFonts w:ascii="Arial" w:eastAsia="Times New Roman" w:hAnsi="Arial" w:cs="Arial"/>
          <w:color w:val="4B4B4B"/>
          <w:kern w:val="0"/>
          <w14:ligatures w14:val="none"/>
        </w:rPr>
        <w:t>: As source data shifts—new fields, new categories, new templates—recommendations skew toward outdated patterns and inconsistent taxonomies.</w:t>
      </w:r>
    </w:p>
    <w:p w14:paraId="6A918197" w14:textId="77777777" w:rsidR="000C17D0" w:rsidRPr="000C17D0" w:rsidRDefault="000C17D0" w:rsidP="000C17D0">
      <w:pPr>
        <w:shd w:val="clear" w:color="auto" w:fill="FFFFFF"/>
        <w:spacing w:before="100" w:beforeAutospacing="1" w:after="100" w:afterAutospacing="1" w:line="240" w:lineRule="auto"/>
        <w:outlineLvl w:val="2"/>
        <w:rPr>
          <w:rFonts w:ascii="Arial" w:eastAsia="Times New Roman" w:hAnsi="Arial" w:cs="Arial"/>
          <w:color w:val="000000"/>
          <w:kern w:val="0"/>
          <w:sz w:val="27"/>
          <w:szCs w:val="27"/>
          <w14:ligatures w14:val="none"/>
        </w:rPr>
      </w:pPr>
      <w:r w:rsidRPr="000C17D0">
        <w:rPr>
          <w:rFonts w:ascii="Arial" w:eastAsia="Times New Roman" w:hAnsi="Arial" w:cs="Arial"/>
          <w:color w:val="000000"/>
          <w:kern w:val="0"/>
          <w:sz w:val="27"/>
          <w:szCs w:val="27"/>
          <w14:ligatures w14:val="none"/>
        </w:rPr>
        <w:t>Compliance exposure, audit friction, and measurable financial loss</w:t>
      </w:r>
    </w:p>
    <w:p w14:paraId="6B25651B"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Regulated decisions require traceability: what sources supported the output, what version of the record applied, and which policy controlled access. Low-quality data blocks that chain of evidence, which raises the cost of audits and incident response and increases the likelihood of policy violations when systems act on inconsistent records.</w:t>
      </w:r>
    </w:p>
    <w:p w14:paraId="14A4A231"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The resource impact proves persistent. Data teams allocate substantial time to reconciliation, rework, and exception handling; model improvements and new use cases wait behind cleanup. Gartner estimates an average annual cost of $12.9 million per organization from poor data quality, a figure that reflects wasted effort, missed opportunities, and downstream operational errors.</w:t>
      </w:r>
    </w:p>
    <w:p w14:paraId="0AEEDC24" w14:textId="77777777" w:rsidR="000C17D0" w:rsidRPr="000C17D0" w:rsidRDefault="000C17D0" w:rsidP="000C17D0">
      <w:pPr>
        <w:shd w:val="clear" w:color="auto" w:fill="FFFFFF"/>
        <w:spacing w:before="100" w:beforeAutospacing="1" w:after="100" w:afterAutospacing="1" w:line="240" w:lineRule="auto"/>
        <w:outlineLvl w:val="1"/>
        <w:rPr>
          <w:rFonts w:ascii="Arial" w:eastAsia="Times New Roman" w:hAnsi="Arial" w:cs="Arial"/>
          <w:color w:val="000000"/>
          <w:kern w:val="0"/>
          <w:sz w:val="36"/>
          <w:szCs w:val="36"/>
          <w14:ligatures w14:val="none"/>
        </w:rPr>
      </w:pPr>
      <w:r w:rsidRPr="000C17D0">
        <w:rPr>
          <w:rFonts w:ascii="Arial" w:eastAsia="Times New Roman" w:hAnsi="Arial" w:cs="Arial"/>
          <w:color w:val="000000"/>
          <w:kern w:val="0"/>
          <w:sz w:val="36"/>
          <w:szCs w:val="36"/>
          <w14:ligatures w14:val="none"/>
        </w:rPr>
        <w:t>Key dimensions of data quality for AI</w:t>
      </w:r>
    </w:p>
    <w:p w14:paraId="087FF63F"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Data quality for AI breaks into a handful of dimensions that teams can measure, test, and enforce in pipelines. Each dimension maps to distinct failure patterns—misclassification, unstable retrieval, compliance gaps, or brittle performance under change.</w:t>
      </w:r>
    </w:p>
    <w:p w14:paraId="301685F6" w14:textId="77777777" w:rsidR="000C17D0" w:rsidRPr="000C17D0" w:rsidRDefault="000C17D0" w:rsidP="000C17D0">
      <w:pPr>
        <w:shd w:val="clear" w:color="auto" w:fill="FFFFFF"/>
        <w:spacing w:before="100" w:beforeAutospacing="1" w:after="100" w:afterAutospacing="1" w:line="240" w:lineRule="auto"/>
        <w:outlineLvl w:val="2"/>
        <w:rPr>
          <w:rFonts w:ascii="Arial" w:eastAsia="Times New Roman" w:hAnsi="Arial" w:cs="Arial"/>
          <w:color w:val="000000"/>
          <w:kern w:val="0"/>
          <w:sz w:val="27"/>
          <w:szCs w:val="27"/>
          <w14:ligatures w14:val="none"/>
        </w:rPr>
      </w:pPr>
      <w:r w:rsidRPr="000C17D0">
        <w:rPr>
          <w:rFonts w:ascii="Arial" w:eastAsia="Times New Roman" w:hAnsi="Arial" w:cs="Arial"/>
          <w:color w:val="000000"/>
          <w:kern w:val="0"/>
          <w:sz w:val="27"/>
          <w:szCs w:val="27"/>
          <w14:ligatures w14:val="none"/>
        </w:rPr>
        <w:t>Accuracy and completeness</w:t>
      </w:r>
    </w:p>
    <w:p w14:paraId="6B1DF53F"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Accuracy means values match the system of record and stay aligned across joins. For AI, accuracy also applies to labels, taxonomies, and derived fields; a single wrong category or miskeyed identifier can poison thousands of training examples or route retrieval toward the wrong evidence.</w:t>
      </w:r>
    </w:p>
    <w:p w14:paraId="77566BA4"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Completeness goes beyond “missing fields.” It includes coverage for the attributes a model needs to separate similar cases, plus consistent population of high-signal metadata such as owner, status, region, and effective dates.</w:t>
      </w:r>
    </w:p>
    <w:p w14:paraId="496C7939" w14:textId="77777777" w:rsidR="000C17D0" w:rsidRPr="000C17D0" w:rsidRDefault="000C17D0" w:rsidP="000C17D0">
      <w:pPr>
        <w:numPr>
          <w:ilvl w:val="0"/>
          <w:numId w:val="5"/>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Value correctness checks</w:t>
      </w:r>
      <w:r w:rsidRPr="000C17D0">
        <w:rPr>
          <w:rFonts w:ascii="Arial" w:eastAsia="Times New Roman" w:hAnsi="Arial" w:cs="Arial"/>
          <w:color w:val="4B4B4B"/>
          <w:kern w:val="0"/>
          <w14:ligatures w14:val="none"/>
        </w:rPr>
        <w:t>: Cross-verify critical fields against authoritative sources (for example, HRIS for manager chain, ERP for invoice status, ticketing for resolution state).</w:t>
      </w:r>
    </w:p>
    <w:p w14:paraId="61736947" w14:textId="77777777" w:rsidR="000C17D0" w:rsidRPr="000C17D0" w:rsidRDefault="000C17D0" w:rsidP="000C17D0">
      <w:pPr>
        <w:numPr>
          <w:ilvl w:val="0"/>
          <w:numId w:val="5"/>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Label QA discipline</w:t>
      </w:r>
      <w:r w:rsidRPr="000C17D0">
        <w:rPr>
          <w:rFonts w:ascii="Arial" w:eastAsia="Times New Roman" w:hAnsi="Arial" w:cs="Arial"/>
          <w:color w:val="4B4B4B"/>
          <w:kern w:val="0"/>
          <w14:ligatures w14:val="none"/>
        </w:rPr>
        <w:t>: Maintain a “gold” set of examples with stable labels; track inter-annotator agreement and quarantine ambiguous classes until guidelines tighten.</w:t>
      </w:r>
    </w:p>
    <w:p w14:paraId="239AC660" w14:textId="77777777" w:rsidR="000C17D0" w:rsidRPr="000C17D0" w:rsidRDefault="000C17D0" w:rsidP="000C17D0">
      <w:pPr>
        <w:numPr>
          <w:ilvl w:val="0"/>
          <w:numId w:val="5"/>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Missingness patterns</w:t>
      </w:r>
      <w:r w:rsidRPr="000C17D0">
        <w:rPr>
          <w:rFonts w:ascii="Arial" w:eastAsia="Times New Roman" w:hAnsi="Arial" w:cs="Arial"/>
          <w:color w:val="4B4B4B"/>
          <w:kern w:val="0"/>
          <w14:ligatures w14:val="none"/>
        </w:rPr>
        <w:t>: Treat missing data as a distribution, not a count; missingness that clusters by team, region, or channel signals systematic collection gaps.</w:t>
      </w:r>
    </w:p>
    <w:p w14:paraId="03B914D7" w14:textId="77777777" w:rsidR="000C17D0" w:rsidRPr="000C17D0" w:rsidRDefault="000C17D0" w:rsidP="000C17D0">
      <w:pPr>
        <w:numPr>
          <w:ilvl w:val="0"/>
          <w:numId w:val="5"/>
        </w:numPr>
        <w:shd w:val="clear" w:color="auto" w:fill="FFFFFF"/>
        <w:spacing w:before="100" w:beforeAutospacing="1" w:after="0"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lastRenderedPageBreak/>
        <w:t>Edge-case field coverage</w:t>
      </w:r>
      <w:r w:rsidRPr="000C17D0">
        <w:rPr>
          <w:rFonts w:ascii="Arial" w:eastAsia="Times New Roman" w:hAnsi="Arial" w:cs="Arial"/>
          <w:color w:val="4B4B4B"/>
          <w:kern w:val="0"/>
          <w14:ligatures w14:val="none"/>
        </w:rPr>
        <w:t>: Require higher completeness for high-impact workflows (incident response, customer escalations, regulated processes) than for low-stakes analytics.</w:t>
      </w:r>
    </w:p>
    <w:p w14:paraId="6E6125EA" w14:textId="77777777" w:rsidR="000C17D0" w:rsidRPr="000C17D0" w:rsidRDefault="000C17D0" w:rsidP="000C17D0">
      <w:pPr>
        <w:shd w:val="clear" w:color="auto" w:fill="FFFFFF"/>
        <w:spacing w:before="100" w:beforeAutospacing="1" w:after="100" w:afterAutospacing="1" w:line="240" w:lineRule="auto"/>
        <w:outlineLvl w:val="2"/>
        <w:rPr>
          <w:rFonts w:ascii="Arial" w:eastAsia="Times New Roman" w:hAnsi="Arial" w:cs="Arial"/>
          <w:color w:val="000000"/>
          <w:kern w:val="0"/>
          <w:sz w:val="27"/>
          <w:szCs w:val="27"/>
          <w14:ligatures w14:val="none"/>
        </w:rPr>
      </w:pPr>
      <w:r w:rsidRPr="000C17D0">
        <w:rPr>
          <w:rFonts w:ascii="Arial" w:eastAsia="Times New Roman" w:hAnsi="Arial" w:cs="Arial"/>
          <w:color w:val="000000"/>
          <w:kern w:val="0"/>
          <w:sz w:val="27"/>
          <w:szCs w:val="27"/>
          <w14:ligatures w14:val="none"/>
        </w:rPr>
        <w:t>Consistency and timeliness</w:t>
      </w:r>
    </w:p>
    <w:p w14:paraId="1FF8697C"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Consistency covers both representation and meaning. A field can look consistent (same type, same format) while its semantics shift across departments; AI systems react badly to semantic drift because training and inference no longer refer to the same concept.</w:t>
      </w:r>
    </w:p>
    <w:p w14:paraId="17F38E0B"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Timeliness includes how quickly a source reflects reality, how quickly pipelines propagate updates, and how quickly downstream indexes refresh. “Current” must become a defined window per dataset, not a vague expectation.</w:t>
      </w:r>
    </w:p>
    <w:p w14:paraId="759D0739" w14:textId="77777777" w:rsidR="000C17D0" w:rsidRPr="000C17D0" w:rsidRDefault="000C17D0" w:rsidP="000C17D0">
      <w:pPr>
        <w:numPr>
          <w:ilvl w:val="0"/>
          <w:numId w:val="6"/>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Data contracts between producers and consumers</w:t>
      </w:r>
      <w:r w:rsidRPr="000C17D0">
        <w:rPr>
          <w:rFonts w:ascii="Arial" w:eastAsia="Times New Roman" w:hAnsi="Arial" w:cs="Arial"/>
          <w:color w:val="4B4B4B"/>
          <w:kern w:val="0"/>
          <w14:ligatures w14:val="none"/>
        </w:rPr>
        <w:t>: Define schema, allowed values, update frequency, and quality thresholds; enforce contracts with automated gates.</w:t>
      </w:r>
    </w:p>
    <w:p w14:paraId="242AFDA2" w14:textId="77777777" w:rsidR="000C17D0" w:rsidRPr="000C17D0" w:rsidRDefault="000C17D0" w:rsidP="000C17D0">
      <w:pPr>
        <w:numPr>
          <w:ilvl w:val="0"/>
          <w:numId w:val="6"/>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Semantic standardization</w:t>
      </w:r>
      <w:r w:rsidRPr="000C17D0">
        <w:rPr>
          <w:rFonts w:ascii="Arial" w:eastAsia="Times New Roman" w:hAnsi="Arial" w:cs="Arial"/>
          <w:color w:val="4B4B4B"/>
          <w:kern w:val="0"/>
          <w14:ligatures w14:val="none"/>
        </w:rPr>
        <w:t>: Maintain a shared glossary for business-critical terms; require mapping tables when local taxonomies must persist.</w:t>
      </w:r>
    </w:p>
    <w:p w14:paraId="2051074C" w14:textId="77777777" w:rsidR="000C17D0" w:rsidRPr="000C17D0" w:rsidRDefault="000C17D0" w:rsidP="000C17D0">
      <w:pPr>
        <w:numPr>
          <w:ilvl w:val="0"/>
          <w:numId w:val="6"/>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Freshness targets by data class</w:t>
      </w:r>
      <w:r w:rsidRPr="000C17D0">
        <w:rPr>
          <w:rFonts w:ascii="Arial" w:eastAsia="Times New Roman" w:hAnsi="Arial" w:cs="Arial"/>
          <w:color w:val="4B4B4B"/>
          <w:kern w:val="0"/>
          <w14:ligatures w14:val="none"/>
        </w:rPr>
        <w:t>: Set distinct latency budgets for incidents, tickets, account changes, policies, and HR updates; tie each to operational impact.</w:t>
      </w:r>
    </w:p>
    <w:p w14:paraId="5F91A11C" w14:textId="77777777" w:rsidR="000C17D0" w:rsidRPr="000C17D0" w:rsidRDefault="000C17D0" w:rsidP="000C17D0">
      <w:pPr>
        <w:numPr>
          <w:ilvl w:val="0"/>
          <w:numId w:val="6"/>
        </w:numPr>
        <w:shd w:val="clear" w:color="auto" w:fill="FFFFFF"/>
        <w:spacing w:before="100" w:beforeAutospacing="1" w:after="0"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Time-aware validation</w:t>
      </w:r>
      <w:r w:rsidRPr="000C17D0">
        <w:rPr>
          <w:rFonts w:ascii="Arial" w:eastAsia="Times New Roman" w:hAnsi="Arial" w:cs="Arial"/>
          <w:color w:val="4B4B4B"/>
          <w:kern w:val="0"/>
          <w14:ligatures w14:val="none"/>
        </w:rPr>
        <w:t>: Validate event order and effective windows (start/end dates, supersession rules) so AI does not treat expired guidance as active.</w:t>
      </w:r>
    </w:p>
    <w:p w14:paraId="70DE9958" w14:textId="77777777" w:rsidR="000C17D0" w:rsidRPr="000C17D0" w:rsidRDefault="000C17D0" w:rsidP="000C17D0">
      <w:pPr>
        <w:shd w:val="clear" w:color="auto" w:fill="FFFFFF"/>
        <w:spacing w:before="100" w:beforeAutospacing="1" w:after="100" w:afterAutospacing="1" w:line="240" w:lineRule="auto"/>
        <w:outlineLvl w:val="2"/>
        <w:rPr>
          <w:rFonts w:ascii="Arial" w:eastAsia="Times New Roman" w:hAnsi="Arial" w:cs="Arial"/>
          <w:color w:val="000000"/>
          <w:kern w:val="0"/>
          <w:sz w:val="27"/>
          <w:szCs w:val="27"/>
          <w14:ligatures w14:val="none"/>
        </w:rPr>
      </w:pPr>
      <w:r w:rsidRPr="000C17D0">
        <w:rPr>
          <w:rFonts w:ascii="Arial" w:eastAsia="Times New Roman" w:hAnsi="Arial" w:cs="Arial"/>
          <w:color w:val="000000"/>
          <w:kern w:val="0"/>
          <w:sz w:val="27"/>
          <w:szCs w:val="27"/>
          <w14:ligatures w14:val="none"/>
        </w:rPr>
        <w:t>Relevance and uniqueness</w:t>
      </w:r>
    </w:p>
    <w:p w14:paraId="26ADAD92"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Relevance means each feature, field, or document earns its place by improving outcomes for a specific use case. Extra signals often look helpful, but they can add variance, raise false confidence, and slow incident response when retrieval returns “related” material instead of decisive evidence.</w:t>
      </w:r>
    </w:p>
    <w:p w14:paraId="6FE88364"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Uniqueness ensures the dataset reflects reality rather than copy patterns. Duplication often comes from templates, mirrored repositories, forwarded email chains, or repeated exports; AI can overweight those artifacts unless teams create canonical records.</w:t>
      </w:r>
    </w:p>
    <w:p w14:paraId="46058CDD" w14:textId="77777777" w:rsidR="000C17D0" w:rsidRPr="000C17D0" w:rsidRDefault="000C17D0" w:rsidP="000C17D0">
      <w:pPr>
        <w:numPr>
          <w:ilvl w:val="0"/>
          <w:numId w:val="7"/>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Noise control for knowledge corpora</w:t>
      </w:r>
      <w:r w:rsidRPr="000C17D0">
        <w:rPr>
          <w:rFonts w:ascii="Arial" w:eastAsia="Times New Roman" w:hAnsi="Arial" w:cs="Arial"/>
          <w:color w:val="4B4B4B"/>
          <w:kern w:val="0"/>
          <w14:ligatures w14:val="none"/>
        </w:rPr>
        <w:t>: Apply ROT controls (redundant, outdated, trivial) with lifecycle metadata—owner, review date, retirement status.</w:t>
      </w:r>
    </w:p>
    <w:p w14:paraId="5DF9C596" w14:textId="77777777" w:rsidR="000C17D0" w:rsidRPr="000C17D0" w:rsidRDefault="000C17D0" w:rsidP="000C17D0">
      <w:pPr>
        <w:numPr>
          <w:ilvl w:val="0"/>
          <w:numId w:val="7"/>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Feature usefulness tests</w:t>
      </w:r>
      <w:r w:rsidRPr="000C17D0">
        <w:rPr>
          <w:rFonts w:ascii="Arial" w:eastAsia="Times New Roman" w:hAnsi="Arial" w:cs="Arial"/>
          <w:color w:val="4B4B4B"/>
          <w:kern w:val="0"/>
          <w14:ligatures w14:val="none"/>
        </w:rPr>
        <w:t>: Evaluate features against task metrics (precision for routing, accuracy for classification, groundedness for answers) and remove fields that fail to move those measures.</w:t>
      </w:r>
    </w:p>
    <w:p w14:paraId="521DFA63" w14:textId="77777777" w:rsidR="000C17D0" w:rsidRPr="000C17D0" w:rsidRDefault="000C17D0" w:rsidP="000C17D0">
      <w:pPr>
        <w:numPr>
          <w:ilvl w:val="0"/>
          <w:numId w:val="7"/>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Canonical entity rules</w:t>
      </w:r>
      <w:r w:rsidRPr="000C17D0">
        <w:rPr>
          <w:rFonts w:ascii="Arial" w:eastAsia="Times New Roman" w:hAnsi="Arial" w:cs="Arial"/>
          <w:color w:val="4B4B4B"/>
          <w:kern w:val="0"/>
          <w14:ligatures w14:val="none"/>
        </w:rPr>
        <w:t>: Define one primary record for people, customers, services, and policies; store references and aliases instead of parallel “truths.”</w:t>
      </w:r>
    </w:p>
    <w:p w14:paraId="631B7B35" w14:textId="77777777" w:rsidR="000C17D0" w:rsidRPr="000C17D0" w:rsidRDefault="000C17D0" w:rsidP="000C17D0">
      <w:pPr>
        <w:numPr>
          <w:ilvl w:val="0"/>
          <w:numId w:val="7"/>
        </w:numPr>
        <w:shd w:val="clear" w:color="auto" w:fill="FFFFFF"/>
        <w:spacing w:before="100" w:beforeAutospacing="1" w:after="0"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Near-duplicate handling</w:t>
      </w:r>
      <w:r w:rsidRPr="000C17D0">
        <w:rPr>
          <w:rFonts w:ascii="Arial" w:eastAsia="Times New Roman" w:hAnsi="Arial" w:cs="Arial"/>
          <w:color w:val="4B4B4B"/>
          <w:kern w:val="0"/>
          <w14:ligatures w14:val="none"/>
        </w:rPr>
        <w:t>: Use similarity thresholds to group copied content and preserve the best instance as the reference source.</w:t>
      </w:r>
    </w:p>
    <w:p w14:paraId="305298E4" w14:textId="77777777" w:rsidR="000C17D0" w:rsidRPr="000C17D0" w:rsidRDefault="000C17D0" w:rsidP="000C17D0">
      <w:pPr>
        <w:shd w:val="clear" w:color="auto" w:fill="FFFFFF"/>
        <w:spacing w:before="100" w:beforeAutospacing="1" w:after="100" w:afterAutospacing="1" w:line="240" w:lineRule="auto"/>
        <w:outlineLvl w:val="2"/>
        <w:rPr>
          <w:rFonts w:ascii="Arial" w:eastAsia="Times New Roman" w:hAnsi="Arial" w:cs="Arial"/>
          <w:color w:val="000000"/>
          <w:kern w:val="0"/>
          <w:sz w:val="27"/>
          <w:szCs w:val="27"/>
          <w14:ligatures w14:val="none"/>
        </w:rPr>
      </w:pPr>
      <w:r w:rsidRPr="000C17D0">
        <w:rPr>
          <w:rFonts w:ascii="Arial" w:eastAsia="Times New Roman" w:hAnsi="Arial" w:cs="Arial"/>
          <w:color w:val="000000"/>
          <w:kern w:val="0"/>
          <w:sz w:val="27"/>
          <w:szCs w:val="27"/>
          <w14:ligatures w14:val="none"/>
        </w:rPr>
        <w:lastRenderedPageBreak/>
        <w:t>Representativeness and bias</w:t>
      </w:r>
    </w:p>
    <w:p w14:paraId="6BC0273C"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Representativeness means the dataset matches where the business runs today—channels, geographies, customer segments, product mix, and language. AI performance depends on balanced exposure to both routine cases and the rarer scenarios that stress workflows and controls.</w:t>
      </w:r>
    </w:p>
    <w:p w14:paraId="45AE22C8"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Bias enters through selection, labeling, and historical process choices. Bias rarely sits in a single column; it often appears as imbalanced sampling, proxy variables, or inconsistent labeling standards across teams.</w:t>
      </w:r>
    </w:p>
    <w:p w14:paraId="44792168" w14:textId="77777777" w:rsidR="000C17D0" w:rsidRPr="000C17D0" w:rsidRDefault="000C17D0" w:rsidP="000C17D0">
      <w:pPr>
        <w:numPr>
          <w:ilvl w:val="0"/>
          <w:numId w:val="8"/>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Sampling plan with explicit strata</w:t>
      </w:r>
      <w:r w:rsidRPr="000C17D0">
        <w:rPr>
          <w:rFonts w:ascii="Arial" w:eastAsia="Times New Roman" w:hAnsi="Arial" w:cs="Arial"/>
          <w:color w:val="4B4B4B"/>
          <w:kern w:val="0"/>
          <w14:ligatures w14:val="none"/>
        </w:rPr>
        <w:t>: Ensure minimum counts for critical slices (region, segment, product line, language, device); track slice health as a standing metric.</w:t>
      </w:r>
    </w:p>
    <w:p w14:paraId="760368F2" w14:textId="77777777" w:rsidR="000C17D0" w:rsidRPr="000C17D0" w:rsidRDefault="000C17D0" w:rsidP="000C17D0">
      <w:pPr>
        <w:numPr>
          <w:ilvl w:val="0"/>
          <w:numId w:val="8"/>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Bias diagnostics per stage</w:t>
      </w:r>
      <w:r w:rsidRPr="000C17D0">
        <w:rPr>
          <w:rFonts w:ascii="Arial" w:eastAsia="Times New Roman" w:hAnsi="Arial" w:cs="Arial"/>
          <w:color w:val="4B4B4B"/>
          <w:kern w:val="0"/>
          <w14:ligatures w14:val="none"/>
        </w:rPr>
        <w:t>: Check for skew at collection (who appears in data), annotation (how classes get assigned), and evaluation (which cases receive tests).</w:t>
      </w:r>
    </w:p>
    <w:p w14:paraId="7BDE07C4" w14:textId="77777777" w:rsidR="000C17D0" w:rsidRPr="000C17D0" w:rsidRDefault="000C17D0" w:rsidP="000C17D0">
      <w:pPr>
        <w:numPr>
          <w:ilvl w:val="0"/>
          <w:numId w:val="8"/>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Dataset documentation</w:t>
      </w:r>
      <w:r w:rsidRPr="000C17D0">
        <w:rPr>
          <w:rFonts w:ascii="Arial" w:eastAsia="Times New Roman" w:hAnsi="Arial" w:cs="Arial"/>
          <w:color w:val="4B4B4B"/>
          <w:kern w:val="0"/>
          <w14:ligatures w14:val="none"/>
        </w:rPr>
        <w:t>: Use datasheets or data cards that state intended use, known gaps, and prohibited uses; treat documentation as part of release criteria.</w:t>
      </w:r>
    </w:p>
    <w:p w14:paraId="0FDCF426" w14:textId="77777777" w:rsidR="000C17D0" w:rsidRPr="000C17D0" w:rsidRDefault="000C17D0" w:rsidP="000C17D0">
      <w:pPr>
        <w:numPr>
          <w:ilvl w:val="0"/>
          <w:numId w:val="8"/>
        </w:numPr>
        <w:shd w:val="clear" w:color="auto" w:fill="FFFFFF"/>
        <w:spacing w:before="100" w:beforeAutospacing="1" w:after="0"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Counterfactual spot checks</w:t>
      </w:r>
      <w:r w:rsidRPr="000C17D0">
        <w:rPr>
          <w:rFonts w:ascii="Arial" w:eastAsia="Times New Roman" w:hAnsi="Arial" w:cs="Arial"/>
          <w:color w:val="4B4B4B"/>
          <w:kern w:val="0"/>
          <w14:ligatures w14:val="none"/>
        </w:rPr>
        <w:t>: For sensitive workflows, compare outcomes for similar cases that differ only on potential proxy attributes to detect hidden skew.</w:t>
      </w:r>
    </w:p>
    <w:p w14:paraId="2A8F18B8" w14:textId="77777777" w:rsidR="000C17D0" w:rsidRPr="000C17D0" w:rsidRDefault="000C17D0" w:rsidP="000C17D0">
      <w:pPr>
        <w:shd w:val="clear" w:color="auto" w:fill="FFFFFF"/>
        <w:spacing w:before="100" w:beforeAutospacing="1" w:after="100" w:afterAutospacing="1" w:line="240" w:lineRule="auto"/>
        <w:outlineLvl w:val="2"/>
        <w:rPr>
          <w:rFonts w:ascii="Arial" w:eastAsia="Times New Roman" w:hAnsi="Arial" w:cs="Arial"/>
          <w:color w:val="000000"/>
          <w:kern w:val="0"/>
          <w:sz w:val="27"/>
          <w:szCs w:val="27"/>
          <w14:ligatures w14:val="none"/>
        </w:rPr>
      </w:pPr>
      <w:r w:rsidRPr="000C17D0">
        <w:rPr>
          <w:rFonts w:ascii="Arial" w:eastAsia="Times New Roman" w:hAnsi="Arial" w:cs="Arial"/>
          <w:color w:val="000000"/>
          <w:kern w:val="0"/>
          <w:sz w:val="27"/>
          <w:szCs w:val="27"/>
          <w14:ligatures w14:val="none"/>
        </w:rPr>
        <w:t>Governance, security, and permissions (enterprise-critical)</w:t>
      </w:r>
    </w:p>
    <w:p w14:paraId="4EB40630"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Governance defines who owns data, how changes get approved, and how teams prove reliability under audit. For enterprise AI, governance must also cover access policy enforcement across every stage that touches data—ingest, storage, retrieval, generation, and action.</w:t>
      </w:r>
    </w:p>
    <w:p w14:paraId="6B5E33E1"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Security quality includes access correctness, retention controls, and evidence trails that support investigations without broad exposure. A strong governance layer reduces the probability that AI systems learn from or reveal data outside intended bounds.</w:t>
      </w:r>
    </w:p>
    <w:p w14:paraId="17F933C7" w14:textId="77777777" w:rsidR="000C17D0" w:rsidRPr="000C17D0" w:rsidRDefault="000C17D0" w:rsidP="000C17D0">
      <w:pPr>
        <w:numPr>
          <w:ilvl w:val="0"/>
          <w:numId w:val="9"/>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Policy-as-code for access controls</w:t>
      </w:r>
      <w:r w:rsidRPr="000C17D0">
        <w:rPr>
          <w:rFonts w:ascii="Arial" w:eastAsia="Times New Roman" w:hAnsi="Arial" w:cs="Arial"/>
          <w:color w:val="4B4B4B"/>
          <w:kern w:val="0"/>
          <w14:ligatures w14:val="none"/>
        </w:rPr>
        <w:t>: Encode access rules in testable logic; run automated checks that validate role, group, and document-level permissions before release.</w:t>
      </w:r>
    </w:p>
    <w:p w14:paraId="4E44287E" w14:textId="77777777" w:rsidR="000C17D0" w:rsidRPr="000C17D0" w:rsidRDefault="000C17D0" w:rsidP="000C17D0">
      <w:pPr>
        <w:numPr>
          <w:ilvl w:val="0"/>
          <w:numId w:val="9"/>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Permission integrity tests</w:t>
      </w:r>
      <w:r w:rsidRPr="000C17D0">
        <w:rPr>
          <w:rFonts w:ascii="Arial" w:eastAsia="Times New Roman" w:hAnsi="Arial" w:cs="Arial"/>
          <w:color w:val="4B4B4B"/>
          <w:kern w:val="0"/>
          <w14:ligatures w14:val="none"/>
        </w:rPr>
        <w:t>: Validate group sync, entitlement changes, and exception paths; require negative tests that confirm restricted users never receive protected content.</w:t>
      </w:r>
    </w:p>
    <w:p w14:paraId="27D24364" w14:textId="77777777" w:rsidR="000C17D0" w:rsidRPr="000C17D0" w:rsidRDefault="000C17D0" w:rsidP="000C17D0">
      <w:pPr>
        <w:numPr>
          <w:ilvl w:val="0"/>
          <w:numId w:val="9"/>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Audit-ready evidence</w:t>
      </w:r>
      <w:r w:rsidRPr="000C17D0">
        <w:rPr>
          <w:rFonts w:ascii="Arial" w:eastAsia="Times New Roman" w:hAnsi="Arial" w:cs="Arial"/>
          <w:color w:val="4B4B4B"/>
          <w:kern w:val="0"/>
          <w14:ligatures w14:val="none"/>
        </w:rPr>
        <w:t>: Maintain immutable logs for data access, model queries, and data transforms; tie each output to a source snapshot and policy version.</w:t>
      </w:r>
    </w:p>
    <w:p w14:paraId="48701018" w14:textId="77777777" w:rsidR="000C17D0" w:rsidRPr="000C17D0" w:rsidRDefault="000C17D0" w:rsidP="000C17D0">
      <w:pPr>
        <w:numPr>
          <w:ilvl w:val="0"/>
          <w:numId w:val="9"/>
        </w:numPr>
        <w:shd w:val="clear" w:color="auto" w:fill="FFFFFF"/>
        <w:spacing w:before="100" w:beforeAutospacing="1" w:after="0"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Retention and minimization rules</w:t>
      </w:r>
      <w:r w:rsidRPr="000C17D0">
        <w:rPr>
          <w:rFonts w:ascii="Arial" w:eastAsia="Times New Roman" w:hAnsi="Arial" w:cs="Arial"/>
          <w:color w:val="4B4B4B"/>
          <w:kern w:val="0"/>
          <w14:ligatures w14:val="none"/>
        </w:rPr>
        <w:t>: Define allowed storage duration and field-level restrictions for sensitive categories; enforce rules at ingestion and in downstream feature sets.</w:t>
      </w:r>
    </w:p>
    <w:p w14:paraId="0E264E7A" w14:textId="77777777" w:rsidR="000C17D0" w:rsidRPr="000C17D0" w:rsidRDefault="000C17D0" w:rsidP="000C17D0">
      <w:pPr>
        <w:shd w:val="clear" w:color="auto" w:fill="FFFFFF"/>
        <w:spacing w:before="100" w:beforeAutospacing="1" w:after="100" w:afterAutospacing="1" w:line="240" w:lineRule="auto"/>
        <w:outlineLvl w:val="1"/>
        <w:rPr>
          <w:rFonts w:ascii="Arial" w:eastAsia="Times New Roman" w:hAnsi="Arial" w:cs="Arial"/>
          <w:color w:val="000000"/>
          <w:kern w:val="0"/>
          <w:sz w:val="36"/>
          <w:szCs w:val="36"/>
          <w14:ligatures w14:val="none"/>
        </w:rPr>
      </w:pPr>
      <w:r w:rsidRPr="000C17D0">
        <w:rPr>
          <w:rFonts w:ascii="Arial" w:eastAsia="Times New Roman" w:hAnsi="Arial" w:cs="Arial"/>
          <w:color w:val="000000"/>
          <w:kern w:val="0"/>
          <w:sz w:val="36"/>
          <w:szCs w:val="36"/>
          <w14:ligatures w14:val="none"/>
        </w:rPr>
        <w:t>How to assess data quality before AI implementation</w:t>
      </w:r>
    </w:p>
    <w:p w14:paraId="6E9D450E"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lastRenderedPageBreak/>
        <w:t>Assessment should produce concrete artifacts that engineering, security, and data teams can review: a source inventory, a risk register, a metric baseline, and a set of acceptance tests tied to the target workflows. This approach reduces debate over “good data” and replaces it with evidence that aligns to business outcomes and governance expectations highlighted in frameworks such as NIST’s AI risk work.</w:t>
      </w:r>
    </w:p>
    <w:p w14:paraId="226F26C5"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Treat the exercise as two parallel workstreams: input readiness (what the AI can safely consume) and outcome readiness (how the AI behaves when it uses that input). The handoff between the two should remain explicit—each failed outcome test should trace back to a specific upstream defect class.</w:t>
      </w:r>
    </w:p>
    <w:p w14:paraId="1D2F10A3" w14:textId="77777777" w:rsidR="000C17D0" w:rsidRPr="000C17D0" w:rsidRDefault="000C17D0" w:rsidP="000C17D0">
      <w:pPr>
        <w:shd w:val="clear" w:color="auto" w:fill="FFFFFF"/>
        <w:spacing w:before="100" w:beforeAutospacing="1" w:after="100" w:afterAutospacing="1" w:line="240" w:lineRule="auto"/>
        <w:outlineLvl w:val="2"/>
        <w:rPr>
          <w:rFonts w:ascii="Arial" w:eastAsia="Times New Roman" w:hAnsi="Arial" w:cs="Arial"/>
          <w:color w:val="000000"/>
          <w:kern w:val="0"/>
          <w:sz w:val="27"/>
          <w:szCs w:val="27"/>
          <w14:ligatures w14:val="none"/>
        </w:rPr>
      </w:pPr>
      <w:r w:rsidRPr="000C17D0">
        <w:rPr>
          <w:rFonts w:ascii="Arial" w:eastAsia="Times New Roman" w:hAnsi="Arial" w:cs="Arial"/>
          <w:color w:val="000000"/>
          <w:kern w:val="0"/>
          <w:sz w:val="27"/>
          <w:szCs w:val="27"/>
          <w14:ligatures w14:val="none"/>
        </w:rPr>
        <w:t>Run a source-by-source data audit</w:t>
      </w:r>
    </w:p>
    <w:p w14:paraId="319DF21E"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Build a catalog of every source the AI will rely on, then document what each source can and cannot support for the use case. The objective here is clarity on scope, quality risk, and operational constraints—not a one-time cleanup effort.</w:t>
      </w:r>
    </w:p>
    <w:p w14:paraId="135E2585" w14:textId="77777777" w:rsidR="000C17D0" w:rsidRPr="000C17D0" w:rsidRDefault="000C17D0" w:rsidP="000C17D0">
      <w:pPr>
        <w:numPr>
          <w:ilvl w:val="0"/>
          <w:numId w:val="10"/>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Inventory with purpose</w:t>
      </w:r>
      <w:r w:rsidRPr="000C17D0">
        <w:rPr>
          <w:rFonts w:ascii="Arial" w:eastAsia="Times New Roman" w:hAnsi="Arial" w:cs="Arial"/>
          <w:color w:val="4B4B4B"/>
          <w:kern w:val="0"/>
          <w14:ligatures w14:val="none"/>
        </w:rPr>
        <w:t>: list each dataset or repository plus its intended role (training, retrieval corpus, reference data, or feedback signal).</w:t>
      </w:r>
    </w:p>
    <w:p w14:paraId="1DD210C6" w14:textId="77777777" w:rsidR="000C17D0" w:rsidRPr="000C17D0" w:rsidRDefault="000C17D0" w:rsidP="000C17D0">
      <w:pPr>
        <w:numPr>
          <w:ilvl w:val="0"/>
          <w:numId w:val="10"/>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Field and document inspection</w:t>
      </w:r>
      <w:r w:rsidRPr="000C17D0">
        <w:rPr>
          <w:rFonts w:ascii="Arial" w:eastAsia="Times New Roman" w:hAnsi="Arial" w:cs="Arial"/>
          <w:color w:val="4B4B4B"/>
          <w:kern w:val="0"/>
          <w14:ligatures w14:val="none"/>
        </w:rPr>
        <w:t>: record schema shape, null patterns, value distributions, text length limits, and format deviations that will affect feature use or retrieval context.</w:t>
      </w:r>
    </w:p>
    <w:p w14:paraId="1EDA2AE9" w14:textId="77777777" w:rsidR="000C17D0" w:rsidRPr="000C17D0" w:rsidRDefault="000C17D0" w:rsidP="000C17D0">
      <w:pPr>
        <w:numPr>
          <w:ilvl w:val="0"/>
          <w:numId w:val="10"/>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Defect taxonomy</w:t>
      </w:r>
      <w:r w:rsidRPr="000C17D0">
        <w:rPr>
          <w:rFonts w:ascii="Arial" w:eastAsia="Times New Roman" w:hAnsi="Arial" w:cs="Arial"/>
          <w:color w:val="4B4B4B"/>
          <w:kern w:val="0"/>
          <w14:ligatures w14:val="none"/>
        </w:rPr>
        <w:t>: classify issues into buckets such as duplicate entities, conflicting values across systems, corrupted encodes, partial exports, or inconsistent labels; attach approximate prevalence and business impact.</w:t>
      </w:r>
    </w:p>
    <w:p w14:paraId="32AD0237" w14:textId="77777777" w:rsidR="000C17D0" w:rsidRPr="000C17D0" w:rsidRDefault="000C17D0" w:rsidP="000C17D0">
      <w:pPr>
        <w:numPr>
          <w:ilvl w:val="0"/>
          <w:numId w:val="10"/>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Change patterns</w:t>
      </w:r>
      <w:r w:rsidRPr="000C17D0">
        <w:rPr>
          <w:rFonts w:ascii="Arial" w:eastAsia="Times New Roman" w:hAnsi="Arial" w:cs="Arial"/>
          <w:color w:val="4B4B4B"/>
          <w:kern w:val="0"/>
          <w14:ligatures w14:val="none"/>
        </w:rPr>
        <w:t>: note sources that rewrite records, backfill history, or change identifiers; these behaviors often trigger silent model regressions or broken joins across pipelines.</w:t>
      </w:r>
    </w:p>
    <w:p w14:paraId="323ABC17" w14:textId="77777777" w:rsidR="000C17D0" w:rsidRPr="000C17D0" w:rsidRDefault="000C17D0" w:rsidP="000C17D0">
      <w:pPr>
        <w:numPr>
          <w:ilvl w:val="0"/>
          <w:numId w:val="10"/>
        </w:numPr>
        <w:shd w:val="clear" w:color="auto" w:fill="FFFFFF"/>
        <w:spacing w:before="100" w:beforeAutospacing="1" w:after="0"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Unstructured content hygiene</w:t>
      </w:r>
      <w:r w:rsidRPr="000C17D0">
        <w:rPr>
          <w:rFonts w:ascii="Arial" w:eastAsia="Times New Roman" w:hAnsi="Arial" w:cs="Arial"/>
          <w:color w:val="4B4B4B"/>
          <w:kern w:val="0"/>
          <w14:ligatures w14:val="none"/>
        </w:rPr>
        <w:t>: identify policy sets, runbooks, and FAQs that lack owners or review dates; flag sections with conflicting guidance or outdated procedures.</w:t>
      </w:r>
    </w:p>
    <w:p w14:paraId="124E9C78" w14:textId="77777777" w:rsidR="000C17D0" w:rsidRPr="000C17D0" w:rsidRDefault="000C17D0" w:rsidP="000C17D0">
      <w:pPr>
        <w:shd w:val="clear" w:color="auto" w:fill="FFFFFF"/>
        <w:spacing w:before="100" w:beforeAutospacing="1" w:after="100" w:afterAutospacing="1" w:line="240" w:lineRule="auto"/>
        <w:outlineLvl w:val="2"/>
        <w:rPr>
          <w:rFonts w:ascii="Arial" w:eastAsia="Times New Roman" w:hAnsi="Arial" w:cs="Arial"/>
          <w:color w:val="000000"/>
          <w:kern w:val="0"/>
          <w:sz w:val="27"/>
          <w:szCs w:val="27"/>
          <w14:ligatures w14:val="none"/>
        </w:rPr>
      </w:pPr>
      <w:r w:rsidRPr="000C17D0">
        <w:rPr>
          <w:rFonts w:ascii="Arial" w:eastAsia="Times New Roman" w:hAnsi="Arial" w:cs="Arial"/>
          <w:color w:val="000000"/>
          <w:kern w:val="0"/>
          <w:sz w:val="27"/>
          <w:szCs w:val="27"/>
          <w14:ligatures w14:val="none"/>
        </w:rPr>
        <w:t>Define metrics that match the AI use case</w:t>
      </w:r>
    </w:p>
    <w:p w14:paraId="6CD56076"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Choose measures that reflect how the AI will succeed or fail in the targeted workflows. A small number of well-chosen metrics will outperform a broad “score” that no team can act on.</w:t>
      </w:r>
    </w:p>
    <w:p w14:paraId="50E289E6"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Use a metric set such as:</w:t>
      </w:r>
    </w:p>
    <w:p w14:paraId="1DD12023" w14:textId="77777777" w:rsidR="000C17D0" w:rsidRPr="000C17D0" w:rsidRDefault="000C17D0" w:rsidP="000C17D0">
      <w:pPr>
        <w:numPr>
          <w:ilvl w:val="0"/>
          <w:numId w:val="11"/>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Correctness sampling rate</w:t>
      </w:r>
      <w:r w:rsidRPr="000C17D0">
        <w:rPr>
          <w:rFonts w:ascii="Arial" w:eastAsia="Times New Roman" w:hAnsi="Arial" w:cs="Arial"/>
          <w:color w:val="4B4B4B"/>
          <w:kern w:val="0"/>
          <w14:ligatures w14:val="none"/>
        </w:rPr>
        <w:t>: percent of sampled records that match an authoritative reference for the fields that drive decisions (status, entitlement, severity, effective dates).</w:t>
      </w:r>
    </w:p>
    <w:p w14:paraId="7ACAA18C" w14:textId="77777777" w:rsidR="000C17D0" w:rsidRPr="000C17D0" w:rsidRDefault="000C17D0" w:rsidP="000C17D0">
      <w:pPr>
        <w:numPr>
          <w:ilvl w:val="0"/>
          <w:numId w:val="11"/>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Coverage threshold</w:t>
      </w:r>
      <w:r w:rsidRPr="000C17D0">
        <w:rPr>
          <w:rFonts w:ascii="Arial" w:eastAsia="Times New Roman" w:hAnsi="Arial" w:cs="Arial"/>
          <w:color w:val="4B4B4B"/>
          <w:kern w:val="0"/>
          <w14:ligatures w14:val="none"/>
        </w:rPr>
        <w:t>: percent of records that include the minimal set of attributes required for the workflow; define this per record type rather than as an all-data average.</w:t>
      </w:r>
    </w:p>
    <w:p w14:paraId="4AA478F6" w14:textId="77777777" w:rsidR="000C17D0" w:rsidRPr="000C17D0" w:rsidRDefault="000C17D0" w:rsidP="000C17D0">
      <w:pPr>
        <w:numPr>
          <w:ilvl w:val="0"/>
          <w:numId w:val="11"/>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lastRenderedPageBreak/>
        <w:t>Recency target</w:t>
      </w:r>
      <w:r w:rsidRPr="000C17D0">
        <w:rPr>
          <w:rFonts w:ascii="Arial" w:eastAsia="Times New Roman" w:hAnsi="Arial" w:cs="Arial"/>
          <w:color w:val="4B4B4B"/>
          <w:kern w:val="0"/>
          <w14:ligatures w14:val="none"/>
        </w:rPr>
        <w:t>: maximum acceptable age of key records and documents at the moment the AI reads them; set distinct targets for incidents, tickets, policies, and account facts.</w:t>
      </w:r>
    </w:p>
    <w:p w14:paraId="22C14E02" w14:textId="77777777" w:rsidR="000C17D0" w:rsidRPr="000C17D0" w:rsidRDefault="000C17D0" w:rsidP="000C17D0">
      <w:pPr>
        <w:numPr>
          <w:ilvl w:val="0"/>
          <w:numId w:val="11"/>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Duplicate pressure</w:t>
      </w:r>
      <w:r w:rsidRPr="000C17D0">
        <w:rPr>
          <w:rFonts w:ascii="Arial" w:eastAsia="Times New Roman" w:hAnsi="Arial" w:cs="Arial"/>
          <w:color w:val="4B4B4B"/>
          <w:kern w:val="0"/>
          <w14:ligatures w14:val="none"/>
        </w:rPr>
        <w:t>: degree of repetition for the same entity or the same guidance across repositories; include “near match” duplicates that differ only in minor text edits.</w:t>
      </w:r>
    </w:p>
    <w:p w14:paraId="6CDA77FE" w14:textId="77777777" w:rsidR="000C17D0" w:rsidRPr="000C17D0" w:rsidRDefault="000C17D0" w:rsidP="000C17D0">
      <w:pPr>
        <w:numPr>
          <w:ilvl w:val="0"/>
          <w:numId w:val="11"/>
        </w:numPr>
        <w:shd w:val="clear" w:color="auto" w:fill="FFFFFF"/>
        <w:spacing w:before="100" w:beforeAutospacing="1" w:after="0"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Label reliability</w:t>
      </w:r>
      <w:r w:rsidRPr="000C17D0">
        <w:rPr>
          <w:rFonts w:ascii="Arial" w:eastAsia="Times New Roman" w:hAnsi="Arial" w:cs="Arial"/>
          <w:color w:val="4B4B4B"/>
          <w:kern w:val="0"/>
          <w14:ligatures w14:val="none"/>
        </w:rPr>
        <w:t>: agreement level across annotators or rule systems for supervised tasks; low agreement should block model training for that label set until guidelines tighten.</w:t>
      </w:r>
    </w:p>
    <w:p w14:paraId="143A403D" w14:textId="77777777" w:rsidR="000C17D0" w:rsidRPr="000C17D0" w:rsidRDefault="000C17D0" w:rsidP="000C17D0">
      <w:pPr>
        <w:shd w:val="clear" w:color="auto" w:fill="FFFFFF"/>
        <w:spacing w:before="100" w:beforeAutospacing="1" w:after="100" w:afterAutospacing="1" w:line="240" w:lineRule="auto"/>
        <w:outlineLvl w:val="2"/>
        <w:rPr>
          <w:rFonts w:ascii="Arial" w:eastAsia="Times New Roman" w:hAnsi="Arial" w:cs="Arial"/>
          <w:color w:val="000000"/>
          <w:kern w:val="0"/>
          <w:sz w:val="27"/>
          <w:szCs w:val="27"/>
          <w14:ligatures w14:val="none"/>
        </w:rPr>
      </w:pPr>
      <w:r w:rsidRPr="000C17D0">
        <w:rPr>
          <w:rFonts w:ascii="Arial" w:eastAsia="Times New Roman" w:hAnsi="Arial" w:cs="Arial"/>
          <w:color w:val="000000"/>
          <w:kern w:val="0"/>
          <w:sz w:val="27"/>
          <w:szCs w:val="27"/>
          <w14:ligatures w14:val="none"/>
        </w:rPr>
        <w:t>Test coverage and representativeness with slice analysis</w:t>
      </w:r>
    </w:p>
    <w:p w14:paraId="19BF2C78"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An enterprise dataset can look robust yet fail on the situations that matter most—rare escalations, new regions, non-default languages, or unusual contract structures. Use slice checks to confirm that the AI will see enough examples of the real conditions it must handle.</w:t>
      </w:r>
    </w:p>
    <w:p w14:paraId="5619B5EF"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A practical slice plan can include:</w:t>
      </w:r>
    </w:p>
    <w:p w14:paraId="33657076" w14:textId="77777777" w:rsidR="000C17D0" w:rsidRPr="000C17D0" w:rsidRDefault="000C17D0" w:rsidP="000C17D0">
      <w:pPr>
        <w:numPr>
          <w:ilvl w:val="0"/>
          <w:numId w:val="12"/>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Operational slices</w:t>
      </w:r>
      <w:r w:rsidRPr="000C17D0">
        <w:rPr>
          <w:rFonts w:ascii="Arial" w:eastAsia="Times New Roman" w:hAnsi="Arial" w:cs="Arial"/>
          <w:color w:val="4B4B4B"/>
          <w:kern w:val="0"/>
          <w14:ligatures w14:val="none"/>
        </w:rPr>
        <w:t>: channel, region, language, device type, product area, customer tier.</w:t>
      </w:r>
    </w:p>
    <w:p w14:paraId="55982227" w14:textId="77777777" w:rsidR="000C17D0" w:rsidRPr="000C17D0" w:rsidRDefault="000C17D0" w:rsidP="000C17D0">
      <w:pPr>
        <w:numPr>
          <w:ilvl w:val="0"/>
          <w:numId w:val="12"/>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Risk slices</w:t>
      </w:r>
      <w:r w:rsidRPr="000C17D0">
        <w:rPr>
          <w:rFonts w:ascii="Arial" w:eastAsia="Times New Roman" w:hAnsi="Arial" w:cs="Arial"/>
          <w:color w:val="4B4B4B"/>
          <w:kern w:val="0"/>
          <w14:ligatures w14:val="none"/>
        </w:rPr>
        <w:t>: regulated processes, high-value accounts, security events, escalations, safety-related workflows.</w:t>
      </w:r>
    </w:p>
    <w:p w14:paraId="4863105A" w14:textId="77777777" w:rsidR="000C17D0" w:rsidRPr="000C17D0" w:rsidRDefault="000C17D0" w:rsidP="000C17D0">
      <w:pPr>
        <w:numPr>
          <w:ilvl w:val="0"/>
          <w:numId w:val="12"/>
        </w:numPr>
        <w:shd w:val="clear" w:color="auto" w:fill="FFFFFF"/>
        <w:spacing w:before="100" w:beforeAutospacing="1" w:after="0"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Collection slices</w:t>
      </w:r>
      <w:r w:rsidRPr="000C17D0">
        <w:rPr>
          <w:rFonts w:ascii="Arial" w:eastAsia="Times New Roman" w:hAnsi="Arial" w:cs="Arial"/>
          <w:color w:val="4B4B4B"/>
          <w:kern w:val="0"/>
          <w14:ligatures w14:val="none"/>
        </w:rPr>
        <w:t>: source application, form version, migration cohort, team that produced the record.</w:t>
      </w:r>
    </w:p>
    <w:p w14:paraId="1B7732E6"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For each slice, compute the metric baseline and note outliers. Large gaps often signal a data collection bias, a tooling constraint, or a process gap that no model tuning will fix.</w:t>
      </w:r>
    </w:p>
    <w:p w14:paraId="46E8721A" w14:textId="77777777" w:rsidR="000C17D0" w:rsidRPr="000C17D0" w:rsidRDefault="000C17D0" w:rsidP="000C17D0">
      <w:pPr>
        <w:shd w:val="clear" w:color="auto" w:fill="FFFFFF"/>
        <w:spacing w:before="100" w:beforeAutospacing="1" w:after="100" w:afterAutospacing="1" w:line="240" w:lineRule="auto"/>
        <w:outlineLvl w:val="2"/>
        <w:rPr>
          <w:rFonts w:ascii="Arial" w:eastAsia="Times New Roman" w:hAnsi="Arial" w:cs="Arial"/>
          <w:color w:val="000000"/>
          <w:kern w:val="0"/>
          <w:sz w:val="27"/>
          <w:szCs w:val="27"/>
          <w14:ligatures w14:val="none"/>
        </w:rPr>
      </w:pPr>
      <w:r w:rsidRPr="000C17D0">
        <w:rPr>
          <w:rFonts w:ascii="Arial" w:eastAsia="Times New Roman" w:hAnsi="Arial" w:cs="Arial"/>
          <w:color w:val="000000"/>
          <w:kern w:val="0"/>
          <w:sz w:val="27"/>
          <w:szCs w:val="27"/>
          <w14:ligatures w14:val="none"/>
        </w:rPr>
        <w:t>Map lineage and expose silo boundaries</w:t>
      </w:r>
    </w:p>
    <w:p w14:paraId="5E6E3366"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Lineage work should focus on causality: which upstream changes will alter downstream meaning. This step also reveals where organizational silos encode incompatible definitions that will confuse AI features and retrieval.</w:t>
      </w:r>
    </w:p>
    <w:p w14:paraId="44B6B5BB"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Key lineage deliverables:</w:t>
      </w:r>
    </w:p>
    <w:p w14:paraId="3066B36E" w14:textId="77777777" w:rsidR="000C17D0" w:rsidRPr="000C17D0" w:rsidRDefault="000C17D0" w:rsidP="000C17D0">
      <w:pPr>
        <w:numPr>
          <w:ilvl w:val="0"/>
          <w:numId w:val="13"/>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Transform ledger</w:t>
      </w:r>
      <w:r w:rsidRPr="000C17D0">
        <w:rPr>
          <w:rFonts w:ascii="Arial" w:eastAsia="Times New Roman" w:hAnsi="Arial" w:cs="Arial"/>
          <w:color w:val="4B4B4B"/>
          <w:kern w:val="0"/>
          <w14:ligatures w14:val="none"/>
        </w:rPr>
        <w:t>: list each join, filter, normalization step, and derived field that shapes the final dataset used by models or retrieval.</w:t>
      </w:r>
    </w:p>
    <w:p w14:paraId="6EFE5D66" w14:textId="77777777" w:rsidR="000C17D0" w:rsidRPr="000C17D0" w:rsidRDefault="000C17D0" w:rsidP="000C17D0">
      <w:pPr>
        <w:numPr>
          <w:ilvl w:val="0"/>
          <w:numId w:val="13"/>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Semantic change log</w:t>
      </w:r>
      <w:r w:rsidRPr="000C17D0">
        <w:rPr>
          <w:rFonts w:ascii="Arial" w:eastAsia="Times New Roman" w:hAnsi="Arial" w:cs="Arial"/>
          <w:color w:val="4B4B4B"/>
          <w:kern w:val="0"/>
          <w14:ligatures w14:val="none"/>
        </w:rPr>
        <w:t>: capture taxonomy updates, field repurposes, and renamed concepts; include dates and owners so later regressions have a clear timeline.</w:t>
      </w:r>
    </w:p>
    <w:p w14:paraId="2F51F51C" w14:textId="77777777" w:rsidR="000C17D0" w:rsidRPr="000C17D0" w:rsidRDefault="000C17D0" w:rsidP="000C17D0">
      <w:pPr>
        <w:numPr>
          <w:ilvl w:val="0"/>
          <w:numId w:val="13"/>
        </w:numPr>
        <w:shd w:val="clear" w:color="auto" w:fill="FFFFFF"/>
        <w:spacing w:before="100" w:beforeAutospacing="1" w:after="0"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Identity resolution notes</w:t>
      </w:r>
      <w:r w:rsidRPr="000C17D0">
        <w:rPr>
          <w:rFonts w:ascii="Arial" w:eastAsia="Times New Roman" w:hAnsi="Arial" w:cs="Arial"/>
          <w:color w:val="4B4B4B"/>
          <w:kern w:val="0"/>
          <w14:ligatures w14:val="none"/>
        </w:rPr>
        <w:t>: document how people, customers, services, and cases link across systems; highlight alias rules, merge logic, and collision handling.</w:t>
      </w:r>
    </w:p>
    <w:p w14:paraId="763511F4" w14:textId="77777777" w:rsidR="000C17D0" w:rsidRPr="000C17D0" w:rsidRDefault="000C17D0" w:rsidP="000C17D0">
      <w:pPr>
        <w:shd w:val="clear" w:color="auto" w:fill="FFFFFF"/>
        <w:spacing w:before="100" w:beforeAutospacing="1" w:after="100" w:afterAutospacing="1" w:line="240" w:lineRule="auto"/>
        <w:outlineLvl w:val="2"/>
        <w:rPr>
          <w:rFonts w:ascii="Arial" w:eastAsia="Times New Roman" w:hAnsi="Arial" w:cs="Arial"/>
          <w:color w:val="000000"/>
          <w:kern w:val="0"/>
          <w:sz w:val="27"/>
          <w:szCs w:val="27"/>
          <w14:ligatures w14:val="none"/>
        </w:rPr>
      </w:pPr>
      <w:r w:rsidRPr="000C17D0">
        <w:rPr>
          <w:rFonts w:ascii="Arial" w:eastAsia="Times New Roman" w:hAnsi="Arial" w:cs="Arial"/>
          <w:color w:val="000000"/>
          <w:kern w:val="0"/>
          <w:sz w:val="27"/>
          <w:szCs w:val="27"/>
          <w14:ligatures w14:val="none"/>
        </w:rPr>
        <w:t>Verify permission correctness as a data quality gate</w:t>
      </w:r>
    </w:p>
    <w:p w14:paraId="6CFEB539"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lastRenderedPageBreak/>
        <w:t>Access policy must remain intact across every data path that feeds the AI. Assessment should verify that the AI’s view of the world matches enterprise policy intent, not just raw connector behavior.</w:t>
      </w:r>
    </w:p>
    <w:p w14:paraId="027B4804"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Assess three areas:</w:t>
      </w:r>
    </w:p>
    <w:p w14:paraId="4E86821E" w14:textId="77777777" w:rsidR="000C17D0" w:rsidRPr="000C17D0" w:rsidRDefault="000C17D0" w:rsidP="000C17D0">
      <w:pPr>
        <w:numPr>
          <w:ilvl w:val="0"/>
          <w:numId w:val="14"/>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Entitlement inputs</w:t>
      </w:r>
      <w:r w:rsidRPr="000C17D0">
        <w:rPr>
          <w:rFonts w:ascii="Arial" w:eastAsia="Times New Roman" w:hAnsi="Arial" w:cs="Arial"/>
          <w:color w:val="4B4B4B"/>
          <w:kern w:val="0"/>
          <w14:ligatures w14:val="none"/>
        </w:rPr>
        <w:t>: group membership sources, role definitions, and exception paths; confirm that identity data stays current across org changes.</w:t>
      </w:r>
    </w:p>
    <w:p w14:paraId="193A8960" w14:textId="77777777" w:rsidR="000C17D0" w:rsidRPr="000C17D0" w:rsidRDefault="000C17D0" w:rsidP="000C17D0">
      <w:pPr>
        <w:numPr>
          <w:ilvl w:val="0"/>
          <w:numId w:val="14"/>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Policy propagation</w:t>
      </w:r>
      <w:r w:rsidRPr="000C17D0">
        <w:rPr>
          <w:rFonts w:ascii="Arial" w:eastAsia="Times New Roman" w:hAnsi="Arial" w:cs="Arial"/>
          <w:color w:val="4B4B4B"/>
          <w:kern w:val="0"/>
          <w14:ligatures w14:val="none"/>
        </w:rPr>
        <w:t>: confirm that access rules travel with content through ingest, storage, and retrieval layers; document any source types that lack fine-grained controls.</w:t>
      </w:r>
    </w:p>
    <w:p w14:paraId="75B4F57F" w14:textId="77777777" w:rsidR="000C17D0" w:rsidRPr="000C17D0" w:rsidRDefault="000C17D0" w:rsidP="000C17D0">
      <w:pPr>
        <w:numPr>
          <w:ilvl w:val="0"/>
          <w:numId w:val="14"/>
        </w:numPr>
        <w:shd w:val="clear" w:color="auto" w:fill="FFFFFF"/>
        <w:spacing w:before="100" w:beforeAutospacing="1" w:after="0"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Access simulation matrix</w:t>
      </w:r>
      <w:r w:rsidRPr="000C17D0">
        <w:rPr>
          <w:rFonts w:ascii="Arial" w:eastAsia="Times New Roman" w:hAnsi="Arial" w:cs="Arial"/>
          <w:color w:val="4B4B4B"/>
          <w:kern w:val="0"/>
          <w14:ligatures w14:val="none"/>
        </w:rPr>
        <w:t>: select representative users across roles and regions, then validate that each user’s accessible corpus matches expected boundaries for high-risk content types.</w:t>
      </w:r>
    </w:p>
    <w:p w14:paraId="3A3B103C" w14:textId="77777777" w:rsidR="000C17D0" w:rsidRPr="000C17D0" w:rsidRDefault="000C17D0" w:rsidP="000C17D0">
      <w:pPr>
        <w:shd w:val="clear" w:color="auto" w:fill="FFFFFF"/>
        <w:spacing w:before="100" w:beforeAutospacing="1" w:after="100" w:afterAutospacing="1" w:line="240" w:lineRule="auto"/>
        <w:outlineLvl w:val="2"/>
        <w:rPr>
          <w:rFonts w:ascii="Arial" w:eastAsia="Times New Roman" w:hAnsi="Arial" w:cs="Arial"/>
          <w:color w:val="000000"/>
          <w:kern w:val="0"/>
          <w:sz w:val="27"/>
          <w:szCs w:val="27"/>
          <w14:ligatures w14:val="none"/>
        </w:rPr>
      </w:pPr>
      <w:r w:rsidRPr="000C17D0">
        <w:rPr>
          <w:rFonts w:ascii="Arial" w:eastAsia="Times New Roman" w:hAnsi="Arial" w:cs="Arial"/>
          <w:color w:val="000000"/>
          <w:kern w:val="0"/>
          <w:sz w:val="27"/>
          <w:szCs w:val="27"/>
          <w14:ligatures w14:val="none"/>
        </w:rPr>
        <w:t>Add an evaluation plan before launch</w:t>
      </w:r>
    </w:p>
    <w:p w14:paraId="06EA9475"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Quality assessment should include a test harness that mirrors real work: retrieval, grounded response quality, and task completion. Use this plan to convert data defects into measurable failures that teams can triage.</w:t>
      </w:r>
    </w:p>
    <w:p w14:paraId="704E0AFE"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Two layers create stable signal:</w:t>
      </w:r>
    </w:p>
    <w:p w14:paraId="7D089ED7" w14:textId="77777777" w:rsidR="000C17D0" w:rsidRPr="000C17D0" w:rsidRDefault="000C17D0" w:rsidP="000C17D0">
      <w:pPr>
        <w:numPr>
          <w:ilvl w:val="0"/>
          <w:numId w:val="15"/>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Pre-launch suite</w:t>
      </w:r>
      <w:r w:rsidRPr="000C17D0">
        <w:rPr>
          <w:rFonts w:ascii="Arial" w:eastAsia="Times New Roman" w:hAnsi="Arial" w:cs="Arial"/>
          <w:color w:val="4B4B4B"/>
          <w:kern w:val="0"/>
          <w14:ligatures w14:val="none"/>
        </w:rPr>
        <w:t>: a fixed set of queries and tasks with expected evidence sources; score evidence selection, citation alignment, and response faithfulness to sources.</w:t>
      </w:r>
    </w:p>
    <w:p w14:paraId="4EC2A5F3" w14:textId="77777777" w:rsidR="000C17D0" w:rsidRPr="000C17D0" w:rsidRDefault="000C17D0" w:rsidP="000C17D0">
      <w:pPr>
        <w:numPr>
          <w:ilvl w:val="0"/>
          <w:numId w:val="15"/>
        </w:numPr>
        <w:shd w:val="clear" w:color="auto" w:fill="FFFFFF"/>
        <w:spacing w:before="100" w:beforeAutospacing="1" w:after="0"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Post-launch guardrails</w:t>
      </w:r>
      <w:r w:rsidRPr="000C17D0">
        <w:rPr>
          <w:rFonts w:ascii="Arial" w:eastAsia="Times New Roman" w:hAnsi="Arial" w:cs="Arial"/>
          <w:color w:val="4B4B4B"/>
          <w:kern w:val="0"/>
          <w14:ligatures w14:val="none"/>
        </w:rPr>
        <w:t>: ongoing checks tied to workflow outcomes such as escalation rate, correction rate, and task completion rate; treat abrupt shifts as a data-change indicator, even when pipelines appear healthy.</w:t>
      </w:r>
    </w:p>
    <w:p w14:paraId="1C654142"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Automated evaluators can scale these checks across many scenarios; focused human review can target disputed cases, high-risk slices, and policy-sensitive workflows.</w:t>
      </w:r>
    </w:p>
    <w:p w14:paraId="73853C9E" w14:textId="77777777" w:rsidR="000C17D0" w:rsidRPr="000C17D0" w:rsidRDefault="000C17D0" w:rsidP="000C17D0">
      <w:pPr>
        <w:shd w:val="clear" w:color="auto" w:fill="FFFFFF"/>
        <w:spacing w:before="100" w:beforeAutospacing="1" w:after="100" w:afterAutospacing="1" w:line="240" w:lineRule="auto"/>
        <w:outlineLvl w:val="2"/>
        <w:rPr>
          <w:rFonts w:ascii="Arial" w:eastAsia="Times New Roman" w:hAnsi="Arial" w:cs="Arial"/>
          <w:color w:val="000000"/>
          <w:kern w:val="0"/>
          <w:sz w:val="27"/>
          <w:szCs w:val="27"/>
          <w14:ligatures w14:val="none"/>
        </w:rPr>
      </w:pPr>
      <w:r w:rsidRPr="000C17D0">
        <w:rPr>
          <w:rFonts w:ascii="Arial" w:eastAsia="Times New Roman" w:hAnsi="Arial" w:cs="Arial"/>
          <w:color w:val="000000"/>
          <w:kern w:val="0"/>
          <w:sz w:val="27"/>
          <w:szCs w:val="27"/>
          <w14:ligatures w14:val="none"/>
        </w:rPr>
        <w:t>Vet enterprise connectors with measurable criteria</w:t>
      </w:r>
    </w:p>
    <w:p w14:paraId="597369B7"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Connector quality determines what the AI can access, how it interprets content, and how quickly it can reflect change. Connector assessment should use measurable criteria that correlate with retrieval quality and operational reliability.</w:t>
      </w:r>
    </w:p>
    <w:p w14:paraId="3BAB761C" w14:textId="77777777" w:rsidR="000C17D0" w:rsidRPr="000C17D0" w:rsidRDefault="000C17D0" w:rsidP="000C17D0">
      <w:pPr>
        <w:numPr>
          <w:ilvl w:val="0"/>
          <w:numId w:val="16"/>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Object and metadata fidelity</w:t>
      </w:r>
      <w:r w:rsidRPr="000C17D0">
        <w:rPr>
          <w:rFonts w:ascii="Arial" w:eastAsia="Times New Roman" w:hAnsi="Arial" w:cs="Arial"/>
          <w:color w:val="4B4B4B"/>
          <w:kern w:val="0"/>
          <w14:ligatures w14:val="none"/>
        </w:rPr>
        <w:t>: confirm capture of authorship, timestamps, status, hierarchy, and critical tags; missing metadata often degrades relevance and traceability.</w:t>
      </w:r>
    </w:p>
    <w:p w14:paraId="3BDEE7D7" w14:textId="77777777" w:rsidR="000C17D0" w:rsidRPr="000C17D0" w:rsidRDefault="000C17D0" w:rsidP="000C17D0">
      <w:pPr>
        <w:numPr>
          <w:ilvl w:val="0"/>
          <w:numId w:val="16"/>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Update cadence and delay</w:t>
      </w:r>
      <w:r w:rsidRPr="000C17D0">
        <w:rPr>
          <w:rFonts w:ascii="Arial" w:eastAsia="Times New Roman" w:hAnsi="Arial" w:cs="Arial"/>
          <w:color w:val="4B4B4B"/>
          <w:kern w:val="0"/>
          <w14:ligatures w14:val="none"/>
        </w:rPr>
        <w:t>: measure the time from source change to AI availability; record variance, not only averages.</w:t>
      </w:r>
    </w:p>
    <w:p w14:paraId="7170EA82" w14:textId="77777777" w:rsidR="000C17D0" w:rsidRPr="000C17D0" w:rsidRDefault="000C17D0" w:rsidP="000C17D0">
      <w:pPr>
        <w:numPr>
          <w:ilvl w:val="0"/>
          <w:numId w:val="16"/>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Failure visibility</w:t>
      </w:r>
      <w:r w:rsidRPr="000C17D0">
        <w:rPr>
          <w:rFonts w:ascii="Arial" w:eastAsia="Times New Roman" w:hAnsi="Arial" w:cs="Arial"/>
          <w:color w:val="4B4B4B"/>
          <w:kern w:val="0"/>
          <w14:ligatures w14:val="none"/>
        </w:rPr>
        <w:t>: require clear surfacing of partial ingest, retries, and skipped items; silent drops should count as high severity.</w:t>
      </w:r>
    </w:p>
    <w:p w14:paraId="13E18167" w14:textId="77777777" w:rsidR="000C17D0" w:rsidRPr="000C17D0" w:rsidRDefault="000C17D0" w:rsidP="000C17D0">
      <w:pPr>
        <w:numPr>
          <w:ilvl w:val="0"/>
          <w:numId w:val="16"/>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lastRenderedPageBreak/>
        <w:t>Duplicate and merge behavior</w:t>
      </w:r>
      <w:r w:rsidRPr="000C17D0">
        <w:rPr>
          <w:rFonts w:ascii="Arial" w:eastAsia="Times New Roman" w:hAnsi="Arial" w:cs="Arial"/>
          <w:color w:val="4B4B4B"/>
          <w:kern w:val="0"/>
          <w14:ligatures w14:val="none"/>
        </w:rPr>
        <w:t>: document how the connector treats mirrored repositories, reimports, and migrated systems; confirm stable canonical selection rules.</w:t>
      </w:r>
    </w:p>
    <w:p w14:paraId="4D2E0FC7" w14:textId="77777777" w:rsidR="000C17D0" w:rsidRPr="000C17D0" w:rsidRDefault="000C17D0" w:rsidP="000C17D0">
      <w:pPr>
        <w:numPr>
          <w:ilvl w:val="0"/>
          <w:numId w:val="16"/>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Content segmentation support</w:t>
      </w:r>
      <w:r w:rsidRPr="000C17D0">
        <w:rPr>
          <w:rFonts w:ascii="Arial" w:eastAsia="Times New Roman" w:hAnsi="Arial" w:cs="Arial"/>
          <w:color w:val="4B4B4B"/>
          <w:kern w:val="0"/>
          <w14:ligatures w14:val="none"/>
        </w:rPr>
        <w:t>: verify that long documents, threads, and comment chains preserve boundaries that support clean context selection and accurate citations.</w:t>
      </w:r>
    </w:p>
    <w:p w14:paraId="7B202A71" w14:textId="77777777" w:rsidR="000C17D0" w:rsidRPr="000C17D0" w:rsidRDefault="000C17D0" w:rsidP="000C17D0">
      <w:pPr>
        <w:numPr>
          <w:ilvl w:val="0"/>
          <w:numId w:val="16"/>
        </w:numPr>
        <w:shd w:val="clear" w:color="auto" w:fill="FFFFFF"/>
        <w:spacing w:before="100" w:beforeAutospacing="1" w:after="0"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Access enforcement parity</w:t>
      </w:r>
      <w:r w:rsidRPr="000C17D0">
        <w:rPr>
          <w:rFonts w:ascii="Arial" w:eastAsia="Times New Roman" w:hAnsi="Arial" w:cs="Arial"/>
          <w:color w:val="4B4B4B"/>
          <w:kern w:val="0"/>
          <w14:ligatures w14:val="none"/>
        </w:rPr>
        <w:t>: validate that connector-derived access matches source access for representative roles across high-risk content categories</w:t>
      </w:r>
    </w:p>
    <w:p w14:paraId="1C09397F" w14:textId="77777777" w:rsidR="000C17D0" w:rsidRPr="000C17D0" w:rsidRDefault="000C17D0" w:rsidP="000C17D0">
      <w:pPr>
        <w:shd w:val="clear" w:color="auto" w:fill="FFFFFF"/>
        <w:spacing w:before="100" w:beforeAutospacing="1" w:after="100" w:afterAutospacing="1" w:line="240" w:lineRule="auto"/>
        <w:outlineLvl w:val="1"/>
        <w:rPr>
          <w:rFonts w:ascii="Arial" w:eastAsia="Times New Roman" w:hAnsi="Arial" w:cs="Arial"/>
          <w:color w:val="000000"/>
          <w:kern w:val="0"/>
          <w:sz w:val="36"/>
          <w:szCs w:val="36"/>
          <w14:ligatures w14:val="none"/>
        </w:rPr>
      </w:pPr>
      <w:r w:rsidRPr="000C17D0">
        <w:rPr>
          <w:rFonts w:ascii="Arial" w:eastAsia="Times New Roman" w:hAnsi="Arial" w:cs="Arial"/>
          <w:color w:val="000000"/>
          <w:kern w:val="0"/>
          <w:sz w:val="36"/>
          <w:szCs w:val="36"/>
          <w14:ligatures w14:val="none"/>
        </w:rPr>
        <w:t>Data quality best practices for AI readiness</w:t>
      </w:r>
    </w:p>
    <w:p w14:paraId="28EF8E23"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AI readiness depends on operational habits that keep data dependable as systems and processes shift. These practices work best when they sit close to how teams already ship changes—data pipelines, content publishing, application administration, and security reviews.</w:t>
      </w:r>
    </w:p>
    <w:p w14:paraId="092C95C2" w14:textId="77777777" w:rsidR="000C17D0" w:rsidRPr="000C17D0" w:rsidRDefault="000C17D0" w:rsidP="000C17D0">
      <w:pPr>
        <w:shd w:val="clear" w:color="auto" w:fill="FFFFFF"/>
        <w:spacing w:before="100" w:beforeAutospacing="1" w:after="100" w:afterAutospacing="1" w:line="240" w:lineRule="auto"/>
        <w:outlineLvl w:val="2"/>
        <w:rPr>
          <w:rFonts w:ascii="Arial" w:eastAsia="Times New Roman" w:hAnsi="Arial" w:cs="Arial"/>
          <w:color w:val="000000"/>
          <w:kern w:val="0"/>
          <w:sz w:val="27"/>
          <w:szCs w:val="27"/>
          <w14:ligatures w14:val="none"/>
        </w:rPr>
      </w:pPr>
      <w:r w:rsidRPr="000C17D0">
        <w:rPr>
          <w:rFonts w:ascii="Arial" w:eastAsia="Times New Roman" w:hAnsi="Arial" w:cs="Arial"/>
          <w:color w:val="000000"/>
          <w:kern w:val="0"/>
          <w:sz w:val="27"/>
          <w:szCs w:val="27"/>
          <w14:ligatures w14:val="none"/>
        </w:rPr>
        <w:t>Build a strong data governance foundation</w:t>
      </w:r>
    </w:p>
    <w:p w14:paraId="0E79DA11"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Governance has to make quality enforceable: clear responsibility, shared definitions, and a repeatable path from issue discovery to remediation. Without that, AI teams inherit local interpretations of “truth,” and model behavior varies by department.</w:t>
      </w:r>
    </w:p>
    <w:p w14:paraId="73AF868E" w14:textId="77777777" w:rsidR="000C17D0" w:rsidRPr="000C17D0" w:rsidRDefault="000C17D0" w:rsidP="000C17D0">
      <w:pPr>
        <w:numPr>
          <w:ilvl w:val="0"/>
          <w:numId w:val="17"/>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Assign accountable owners for critical data elements</w:t>
      </w:r>
      <w:r w:rsidRPr="000C17D0">
        <w:rPr>
          <w:rFonts w:ascii="Arial" w:eastAsia="Times New Roman" w:hAnsi="Arial" w:cs="Arial"/>
          <w:color w:val="4B4B4B"/>
          <w:kern w:val="0"/>
          <w14:ligatures w14:val="none"/>
        </w:rPr>
        <w:t>: Name an owner not only for each source, but also for high-impact fields and document sets (severity, entitlement, policy effective date, support resolution codes). Ownership includes approval rights for schema changes and responsibility for downstream breakage.</w:t>
      </w:r>
    </w:p>
    <w:p w14:paraId="2FC9E142" w14:textId="77777777" w:rsidR="000C17D0" w:rsidRPr="000C17D0" w:rsidRDefault="000C17D0" w:rsidP="000C17D0">
      <w:pPr>
        <w:numPr>
          <w:ilvl w:val="0"/>
          <w:numId w:val="17"/>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Define standards that match AI usage, not only reporting</w:t>
      </w:r>
      <w:r w:rsidRPr="000C17D0">
        <w:rPr>
          <w:rFonts w:ascii="Arial" w:eastAsia="Times New Roman" w:hAnsi="Arial" w:cs="Arial"/>
          <w:color w:val="4B4B4B"/>
          <w:kern w:val="0"/>
          <w14:ligatures w14:val="none"/>
        </w:rPr>
        <w:t>: Extend classic dimensions (accuracy, completeness, consistency, timeliness, uniqueness) with AI-specific requirements—label guidelines, representativeness expectations, and documented intended use for each dataset.</w:t>
      </w:r>
    </w:p>
    <w:p w14:paraId="6ED37B90" w14:textId="77777777" w:rsidR="000C17D0" w:rsidRPr="000C17D0" w:rsidRDefault="000C17D0" w:rsidP="000C17D0">
      <w:pPr>
        <w:numPr>
          <w:ilvl w:val="0"/>
          <w:numId w:val="17"/>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Set consistent collection and update rules across systems</w:t>
      </w:r>
      <w:r w:rsidRPr="000C17D0">
        <w:rPr>
          <w:rFonts w:ascii="Arial" w:eastAsia="Times New Roman" w:hAnsi="Arial" w:cs="Arial"/>
          <w:color w:val="4B4B4B"/>
          <w:kern w:val="0"/>
          <w14:ligatures w14:val="none"/>
        </w:rPr>
        <w:t>: Standardize taxonomies, required fields, and allowed values at the point of entry. “Fix it later” creates permanent variance once those records propagate into training sets and retrieval corpora.</w:t>
      </w:r>
    </w:p>
    <w:p w14:paraId="4238344E" w14:textId="77777777" w:rsidR="000C17D0" w:rsidRPr="000C17D0" w:rsidRDefault="000C17D0" w:rsidP="000C17D0">
      <w:pPr>
        <w:numPr>
          <w:ilvl w:val="0"/>
          <w:numId w:val="17"/>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Create fast feedback paths between producers and consumers</w:t>
      </w:r>
      <w:r w:rsidRPr="000C17D0">
        <w:rPr>
          <w:rFonts w:ascii="Arial" w:eastAsia="Times New Roman" w:hAnsi="Arial" w:cs="Arial"/>
          <w:color w:val="4B4B4B"/>
          <w:kern w:val="0"/>
          <w14:ligatures w14:val="none"/>
        </w:rPr>
        <w:t>: Route defects to the team that controls the source process, with a shared severity scale and resolution SLAs. Treat repeated defects as process issues, not individual record issues.</w:t>
      </w:r>
    </w:p>
    <w:p w14:paraId="013B6AE2" w14:textId="77777777" w:rsidR="000C17D0" w:rsidRPr="000C17D0" w:rsidRDefault="000C17D0" w:rsidP="000C17D0">
      <w:pPr>
        <w:numPr>
          <w:ilvl w:val="0"/>
          <w:numId w:val="17"/>
        </w:numPr>
        <w:shd w:val="clear" w:color="auto" w:fill="FFFFFF"/>
        <w:spacing w:before="100" w:beforeAutospacing="1" w:after="0"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Make connector governance a first-class domain</w:t>
      </w:r>
      <w:r w:rsidRPr="000C17D0">
        <w:rPr>
          <w:rFonts w:ascii="Arial" w:eastAsia="Times New Roman" w:hAnsi="Arial" w:cs="Arial"/>
          <w:color w:val="4B4B4B"/>
          <w:kern w:val="0"/>
          <w14:ligatures w14:val="none"/>
        </w:rPr>
        <w:t>: Track connector versions, schema changes, and permission sync health; run periodic access parity checks and content coverage checks after upstream application updates.</w:t>
      </w:r>
    </w:p>
    <w:p w14:paraId="5F800BB5" w14:textId="77777777" w:rsidR="000C17D0" w:rsidRPr="000C17D0" w:rsidRDefault="000C17D0" w:rsidP="000C17D0">
      <w:pPr>
        <w:shd w:val="clear" w:color="auto" w:fill="FFFFFF"/>
        <w:spacing w:before="100" w:beforeAutospacing="1" w:after="100" w:afterAutospacing="1" w:line="240" w:lineRule="auto"/>
        <w:outlineLvl w:val="2"/>
        <w:rPr>
          <w:rFonts w:ascii="Arial" w:eastAsia="Times New Roman" w:hAnsi="Arial" w:cs="Arial"/>
          <w:color w:val="000000"/>
          <w:kern w:val="0"/>
          <w:sz w:val="27"/>
          <w:szCs w:val="27"/>
          <w14:ligatures w14:val="none"/>
        </w:rPr>
      </w:pPr>
      <w:r w:rsidRPr="000C17D0">
        <w:rPr>
          <w:rFonts w:ascii="Arial" w:eastAsia="Times New Roman" w:hAnsi="Arial" w:cs="Arial"/>
          <w:color w:val="000000"/>
          <w:kern w:val="0"/>
          <w:sz w:val="27"/>
          <w:szCs w:val="27"/>
          <w14:ligatures w14:val="none"/>
        </w:rPr>
        <w:t>Prioritize continuous monitoring over one-time cleanup</w:t>
      </w:r>
    </w:p>
    <w:p w14:paraId="4E4E1404"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 xml:space="preserve">Static quality scores age quickly because enterprise data never stays still—new fields arrive, workflows change, and records drift away from earlier assumptions. Continuous </w:t>
      </w:r>
      <w:r w:rsidRPr="000C17D0">
        <w:rPr>
          <w:rFonts w:ascii="Arial" w:eastAsia="Times New Roman" w:hAnsi="Arial" w:cs="Arial"/>
          <w:color w:val="4B4B4B"/>
          <w:kern w:val="0"/>
          <w14:ligatures w14:val="none"/>
        </w:rPr>
        <w:lastRenderedPageBreak/>
        <w:t>checks reduce the window between a quality regression and detection, which protects downstream AI behavior.</w:t>
      </w:r>
    </w:p>
    <w:p w14:paraId="2462CD06" w14:textId="77777777" w:rsidR="000C17D0" w:rsidRPr="000C17D0" w:rsidRDefault="000C17D0" w:rsidP="000C17D0">
      <w:pPr>
        <w:numPr>
          <w:ilvl w:val="0"/>
          <w:numId w:val="18"/>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Adopt data observability across pipelines and sources</w:t>
      </w:r>
      <w:r w:rsidRPr="000C17D0">
        <w:rPr>
          <w:rFonts w:ascii="Arial" w:eastAsia="Times New Roman" w:hAnsi="Arial" w:cs="Arial"/>
          <w:color w:val="4B4B4B"/>
          <w:kern w:val="0"/>
          <w14:ligatures w14:val="none"/>
        </w:rPr>
        <w:t>: Monitor volume, freshness, schema stability, and distribution shifts with automated thresholds that adapt to normal patterns. A sudden drop in records or a new null spike should trigger an alert before model output quality drops.</w:t>
      </w:r>
    </w:p>
    <w:p w14:paraId="7D602469" w14:textId="77777777" w:rsidR="000C17D0" w:rsidRPr="000C17D0" w:rsidRDefault="000C17D0" w:rsidP="000C17D0">
      <w:pPr>
        <w:numPr>
          <w:ilvl w:val="0"/>
          <w:numId w:val="18"/>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Automate validation at ingest and before model use</w:t>
      </w:r>
      <w:r w:rsidRPr="000C17D0">
        <w:rPr>
          <w:rFonts w:ascii="Arial" w:eastAsia="Times New Roman" w:hAnsi="Arial" w:cs="Arial"/>
          <w:color w:val="4B4B4B"/>
          <w:kern w:val="0"/>
          <w14:ligatures w14:val="none"/>
        </w:rPr>
        <w:t>: Apply schema rules, range checks, format validation, and deduplication as standard pipeline gates. Use anomaly detection for high-velocity sources where manual review cannot scale.</w:t>
      </w:r>
    </w:p>
    <w:p w14:paraId="6C61CA0D" w14:textId="77777777" w:rsidR="000C17D0" w:rsidRPr="000C17D0" w:rsidRDefault="000C17D0" w:rsidP="000C17D0">
      <w:pPr>
        <w:numPr>
          <w:ilvl w:val="0"/>
          <w:numId w:val="18"/>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Track “AI-facing” quality indicators</w:t>
      </w:r>
      <w:r w:rsidRPr="000C17D0">
        <w:rPr>
          <w:rFonts w:ascii="Arial" w:eastAsia="Times New Roman" w:hAnsi="Arial" w:cs="Arial"/>
          <w:color w:val="4B4B4B"/>
          <w:kern w:val="0"/>
          <w14:ligatures w14:val="none"/>
        </w:rPr>
        <w:t>: Maintain dashboards for label consistency, slice coverage, document staleness, and duplicate content density. These indicators correlate more strongly with retrieval accuracy and response reliability than generic database health checks.</w:t>
      </w:r>
    </w:p>
    <w:p w14:paraId="7E9142F0" w14:textId="77777777" w:rsidR="000C17D0" w:rsidRPr="000C17D0" w:rsidRDefault="000C17D0" w:rsidP="000C17D0">
      <w:pPr>
        <w:numPr>
          <w:ilvl w:val="0"/>
          <w:numId w:val="18"/>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Couple monitoring with outcome scoring</w:t>
      </w:r>
      <w:r w:rsidRPr="000C17D0">
        <w:rPr>
          <w:rFonts w:ascii="Arial" w:eastAsia="Times New Roman" w:hAnsi="Arial" w:cs="Arial"/>
          <w:color w:val="4B4B4B"/>
          <w:kern w:val="0"/>
          <w14:ligatures w14:val="none"/>
        </w:rPr>
        <w:t>: Add continuous scoring for source traceability rate, verified-source match rate, workflow completion rate, and human override rate. A stable pipeline can still produce degraded outputs when semantics shift in a key system.</w:t>
      </w:r>
    </w:p>
    <w:p w14:paraId="25C1F8E2" w14:textId="77777777" w:rsidR="000C17D0" w:rsidRPr="000C17D0" w:rsidRDefault="000C17D0" w:rsidP="000C17D0">
      <w:pPr>
        <w:numPr>
          <w:ilvl w:val="0"/>
          <w:numId w:val="18"/>
        </w:numPr>
        <w:shd w:val="clear" w:color="auto" w:fill="FFFFFF"/>
        <w:spacing w:before="100" w:beforeAutospacing="1" w:after="0"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Define remediation workflows that close the loop</w:t>
      </w:r>
      <w:r w:rsidRPr="000C17D0">
        <w:rPr>
          <w:rFonts w:ascii="Arial" w:eastAsia="Times New Roman" w:hAnsi="Arial" w:cs="Arial"/>
          <w:color w:val="4B4B4B"/>
          <w:kern w:val="0"/>
          <w14:ligatures w14:val="none"/>
        </w:rPr>
        <w:t>: Alerts should map to concrete actions—rollback a schema change, re-sync a connector, retire an outdated document set, re-label a class with poor agreement, or expand data collection for a thin slice.</w:t>
      </w:r>
    </w:p>
    <w:p w14:paraId="1D75CE25" w14:textId="77777777" w:rsidR="000C17D0" w:rsidRPr="000C17D0" w:rsidRDefault="000C17D0" w:rsidP="000C17D0">
      <w:pPr>
        <w:shd w:val="clear" w:color="auto" w:fill="FFFFFF"/>
        <w:spacing w:before="100" w:beforeAutospacing="1" w:after="100" w:afterAutospacing="1" w:line="240" w:lineRule="auto"/>
        <w:outlineLvl w:val="2"/>
        <w:rPr>
          <w:rFonts w:ascii="Arial" w:eastAsia="Times New Roman" w:hAnsi="Arial" w:cs="Arial"/>
          <w:color w:val="000000"/>
          <w:kern w:val="0"/>
          <w:sz w:val="27"/>
          <w:szCs w:val="27"/>
          <w14:ligatures w14:val="none"/>
        </w:rPr>
      </w:pPr>
      <w:r w:rsidRPr="000C17D0">
        <w:rPr>
          <w:rFonts w:ascii="Arial" w:eastAsia="Times New Roman" w:hAnsi="Arial" w:cs="Arial"/>
          <w:color w:val="000000"/>
          <w:kern w:val="0"/>
          <w:sz w:val="27"/>
          <w:szCs w:val="27"/>
          <w14:ligatures w14:val="none"/>
        </w:rPr>
        <w:t>Connect and unify organizational knowledge</w:t>
      </w:r>
    </w:p>
    <w:p w14:paraId="4B722553"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Most enterprise AI use cases fail at the seams: the same customer appears under multiple identifiers, the same policy exists in multiple versions, and context sits across tickets, docs, and chat threads with no stable linkage. Unification should focus on consistent identity, consistent meaning, and controlled access.</w:t>
      </w:r>
    </w:p>
    <w:p w14:paraId="750ED0B8" w14:textId="77777777" w:rsidR="000C17D0" w:rsidRPr="000C17D0" w:rsidRDefault="000C17D0" w:rsidP="000C17D0">
      <w:pPr>
        <w:numPr>
          <w:ilvl w:val="0"/>
          <w:numId w:val="19"/>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Establish master references for core entities</w:t>
      </w:r>
      <w:r w:rsidRPr="000C17D0">
        <w:rPr>
          <w:rFonts w:ascii="Arial" w:eastAsia="Times New Roman" w:hAnsi="Arial" w:cs="Arial"/>
          <w:color w:val="4B4B4B"/>
          <w:kern w:val="0"/>
          <w14:ligatures w14:val="none"/>
        </w:rPr>
        <w:t>: Create authoritative reference tables for people, customers, products, services, and locations; maintain alias maps for common variations from upstream applications. This reduces duplicate retrieval and stabilizes joins across systems.</w:t>
      </w:r>
    </w:p>
    <w:p w14:paraId="546A0E71" w14:textId="77777777" w:rsidR="000C17D0" w:rsidRPr="000C17D0" w:rsidRDefault="000C17D0" w:rsidP="000C17D0">
      <w:pPr>
        <w:numPr>
          <w:ilvl w:val="0"/>
          <w:numId w:val="19"/>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Normalize information architecture across repositories</w:t>
      </w:r>
      <w:r w:rsidRPr="000C17D0">
        <w:rPr>
          <w:rFonts w:ascii="Arial" w:eastAsia="Times New Roman" w:hAnsi="Arial" w:cs="Arial"/>
          <w:color w:val="4B4B4B"/>
          <w:kern w:val="0"/>
          <w14:ligatures w14:val="none"/>
        </w:rPr>
        <w:t>: Standardize document types, lifecycle states (draft, active, deprecated), ownership, and review cadence. Retire redundant, outdated, and trivial content so retrieval systems do not overweight noise.</w:t>
      </w:r>
    </w:p>
    <w:p w14:paraId="03B8D89A" w14:textId="77777777" w:rsidR="000C17D0" w:rsidRPr="000C17D0" w:rsidRDefault="000C17D0" w:rsidP="000C17D0">
      <w:pPr>
        <w:numPr>
          <w:ilvl w:val="0"/>
          <w:numId w:val="19"/>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Build relationship signals that reflect real work</w:t>
      </w:r>
      <w:r w:rsidRPr="000C17D0">
        <w:rPr>
          <w:rFonts w:ascii="Arial" w:eastAsia="Times New Roman" w:hAnsi="Arial" w:cs="Arial"/>
          <w:color w:val="4B4B4B"/>
          <w:kern w:val="0"/>
          <w14:ligatures w14:val="none"/>
        </w:rPr>
        <w:t>: Link incidents to services, tickets to customers, policies to owners, and decisions to supporting docs. Relationship integrity improves context selection for RAG and reduces brittle “keyword only” matches.</w:t>
      </w:r>
    </w:p>
    <w:p w14:paraId="655A2D5D" w14:textId="77777777" w:rsidR="000C17D0" w:rsidRPr="000C17D0" w:rsidRDefault="000C17D0" w:rsidP="000C17D0">
      <w:pPr>
        <w:numPr>
          <w:ilvl w:val="0"/>
          <w:numId w:val="19"/>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Preserve access policy fidelity across the unified view</w:t>
      </w:r>
      <w:r w:rsidRPr="000C17D0">
        <w:rPr>
          <w:rFonts w:ascii="Arial" w:eastAsia="Times New Roman" w:hAnsi="Arial" w:cs="Arial"/>
          <w:color w:val="4B4B4B"/>
          <w:kern w:val="0"/>
          <w14:ligatures w14:val="none"/>
        </w:rPr>
        <w:t xml:space="preserve">: Enforce least-privilege access at every layer that touches content—index, retrieval, and </w:t>
      </w:r>
      <w:r w:rsidRPr="000C17D0">
        <w:rPr>
          <w:rFonts w:ascii="Arial" w:eastAsia="Times New Roman" w:hAnsi="Arial" w:cs="Arial"/>
          <w:color w:val="4B4B4B"/>
          <w:kern w:val="0"/>
          <w14:ligatures w14:val="none"/>
        </w:rPr>
        <w:lastRenderedPageBreak/>
        <w:t>response generation. Treat entitlement mismatches and stale group membership as data quality defects because they corrupt what the system can safely use.</w:t>
      </w:r>
    </w:p>
    <w:p w14:paraId="4F8B2313" w14:textId="77777777" w:rsidR="000C17D0" w:rsidRPr="000C17D0" w:rsidRDefault="000C17D0" w:rsidP="000C17D0">
      <w:pPr>
        <w:numPr>
          <w:ilvl w:val="0"/>
          <w:numId w:val="19"/>
        </w:numPr>
        <w:shd w:val="clear" w:color="auto" w:fill="FFFFFF"/>
        <w:spacing w:before="100" w:beforeAutospacing="1" w:after="0"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Align unification work with retrieval performance goals</w:t>
      </w:r>
      <w:r w:rsidRPr="000C17D0">
        <w:rPr>
          <w:rFonts w:ascii="Arial" w:eastAsia="Times New Roman" w:hAnsi="Arial" w:cs="Arial"/>
          <w:color w:val="4B4B4B"/>
          <w:kern w:val="0"/>
          <w14:ligatures w14:val="none"/>
        </w:rPr>
        <w:t>: Measure improvements through retrieval precision, citation alignment, and reduction in duplicate results per query. Tie these metrics back to specific unification steps—identity resolution, lifecycle cleanup, and relationship linking.</w:t>
      </w:r>
    </w:p>
    <w:p w14:paraId="27CD6506" w14:textId="77777777" w:rsidR="000C17D0" w:rsidRPr="000C17D0" w:rsidRDefault="000C17D0" w:rsidP="000C17D0">
      <w:pPr>
        <w:shd w:val="clear" w:color="auto" w:fill="FFFFFF"/>
        <w:spacing w:before="100" w:beforeAutospacing="1" w:after="100" w:afterAutospacing="1" w:line="240" w:lineRule="auto"/>
        <w:outlineLvl w:val="1"/>
        <w:rPr>
          <w:rFonts w:ascii="Arial" w:eastAsia="Times New Roman" w:hAnsi="Arial" w:cs="Arial"/>
          <w:color w:val="000000"/>
          <w:kern w:val="0"/>
          <w:sz w:val="36"/>
          <w:szCs w:val="36"/>
          <w14:ligatures w14:val="none"/>
        </w:rPr>
      </w:pPr>
      <w:r w:rsidRPr="000C17D0">
        <w:rPr>
          <w:rFonts w:ascii="Arial" w:eastAsia="Times New Roman" w:hAnsi="Arial" w:cs="Arial"/>
          <w:color w:val="000000"/>
          <w:kern w:val="0"/>
          <w:sz w:val="36"/>
          <w:szCs w:val="36"/>
          <w14:ligatures w14:val="none"/>
        </w:rPr>
        <w:t>How to maintain data quality after AI deployment</w:t>
      </w:r>
    </w:p>
    <w:p w14:paraId="0DA957D9"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After deployment, quality work shifts from “prepare the dataset” to “protect the system.” Every new policy page, ticket template, CRM field change, or org restructure can alter what the AI sees and how it behaves—especially in assistants that pull from both structured records and unstructured knowledge.</w:t>
      </w:r>
    </w:p>
    <w:p w14:paraId="349BC9F1"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A durable approach treats data quality as part of runtime reliability: detect degradation early, trace it to a specific upstream change, then apply a fix that prevents recurrence.</w:t>
      </w:r>
    </w:p>
    <w:p w14:paraId="579EFF89" w14:textId="77777777" w:rsidR="000C17D0" w:rsidRPr="000C17D0" w:rsidRDefault="000C17D0" w:rsidP="000C17D0">
      <w:pPr>
        <w:shd w:val="clear" w:color="auto" w:fill="FFFFFF"/>
        <w:spacing w:before="100" w:beforeAutospacing="1" w:after="100" w:afterAutospacing="1" w:line="240" w:lineRule="auto"/>
        <w:outlineLvl w:val="2"/>
        <w:rPr>
          <w:rFonts w:ascii="Arial" w:eastAsia="Times New Roman" w:hAnsi="Arial" w:cs="Arial"/>
          <w:color w:val="000000"/>
          <w:kern w:val="0"/>
          <w:sz w:val="27"/>
          <w:szCs w:val="27"/>
          <w14:ligatures w14:val="none"/>
        </w:rPr>
      </w:pPr>
      <w:r w:rsidRPr="000C17D0">
        <w:rPr>
          <w:rFonts w:ascii="Arial" w:eastAsia="Times New Roman" w:hAnsi="Arial" w:cs="Arial"/>
          <w:color w:val="000000"/>
          <w:kern w:val="0"/>
          <w:sz w:val="27"/>
          <w:szCs w:val="27"/>
          <w14:ligatures w14:val="none"/>
        </w:rPr>
        <w:t>Detect drift through input and output signals</w:t>
      </w:r>
    </w:p>
    <w:p w14:paraId="09BE1492"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Two failure patterns show up most often in production AI: training-serving skew (what the model learned no longer matches what it receives) and semantic drift (fields keep the same name but their meaning shifts in practice). Both require monitoring that looks beyond pipeline uptime.</w:t>
      </w:r>
    </w:p>
    <w:p w14:paraId="5C27EACC"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Use signals that surface these patterns without re-reading every record:</w:t>
      </w:r>
    </w:p>
    <w:p w14:paraId="02677213" w14:textId="77777777" w:rsidR="000C17D0" w:rsidRPr="000C17D0" w:rsidRDefault="000C17D0" w:rsidP="000C17D0">
      <w:pPr>
        <w:numPr>
          <w:ilvl w:val="0"/>
          <w:numId w:val="20"/>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Feature validity deltas</w:t>
      </w:r>
      <w:r w:rsidRPr="000C17D0">
        <w:rPr>
          <w:rFonts w:ascii="Arial" w:eastAsia="Times New Roman" w:hAnsi="Arial" w:cs="Arial"/>
          <w:color w:val="4B4B4B"/>
          <w:kern w:val="0"/>
          <w14:ligatures w14:val="none"/>
        </w:rPr>
        <w:t>: increases in “invalid-but-accepted” values (new enums, free-text where a controlled vocabulary used to exist, format shifts that pass schema checks but break downstream use).</w:t>
      </w:r>
    </w:p>
    <w:p w14:paraId="558FEDD6" w14:textId="77777777" w:rsidR="000C17D0" w:rsidRPr="000C17D0" w:rsidRDefault="000C17D0" w:rsidP="000C17D0">
      <w:pPr>
        <w:numPr>
          <w:ilvl w:val="0"/>
          <w:numId w:val="20"/>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Join integrity breaks</w:t>
      </w:r>
      <w:r w:rsidRPr="000C17D0">
        <w:rPr>
          <w:rFonts w:ascii="Arial" w:eastAsia="Times New Roman" w:hAnsi="Arial" w:cs="Arial"/>
          <w:color w:val="4B4B4B"/>
          <w:kern w:val="0"/>
          <w14:ligatures w14:val="none"/>
        </w:rPr>
        <w:t>: spikes in unmatched identifiers across core entities (customers, products, services, employees); this often indicates an upstream ID change or a merge rule change.</w:t>
      </w:r>
    </w:p>
    <w:p w14:paraId="0DA407A9" w14:textId="77777777" w:rsidR="000C17D0" w:rsidRPr="000C17D0" w:rsidRDefault="000C17D0" w:rsidP="000C17D0">
      <w:pPr>
        <w:numPr>
          <w:ilvl w:val="0"/>
          <w:numId w:val="20"/>
        </w:numPr>
        <w:shd w:val="clear" w:color="auto" w:fill="FFFFFF"/>
        <w:spacing w:before="100" w:beforeAutospacing="1" w:after="0"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Knowledge rot indicators</w:t>
      </w:r>
      <w:r w:rsidRPr="000C17D0">
        <w:rPr>
          <w:rFonts w:ascii="Arial" w:eastAsia="Times New Roman" w:hAnsi="Arial" w:cs="Arial"/>
          <w:color w:val="4B4B4B"/>
          <w:kern w:val="0"/>
          <w14:ligatures w14:val="none"/>
        </w:rPr>
        <w:t>: rising rates of deprecated or superseded documents in retrieved context; a surge typically follows content migrations or ownership gaps.</w:t>
      </w:r>
    </w:p>
    <w:p w14:paraId="68C68B80"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On the output side, watch for specific behavioral cues that point to upstream data problems rather than model choice: answers that cite irrelevant passages, workflow steps that omit required prerequisites, or higher “needs human review” rates on a narrow slice such as one region or one product line.</w:t>
      </w:r>
    </w:p>
    <w:p w14:paraId="23E294AE" w14:textId="77777777" w:rsidR="000C17D0" w:rsidRPr="000C17D0" w:rsidRDefault="000C17D0" w:rsidP="000C17D0">
      <w:pPr>
        <w:shd w:val="clear" w:color="auto" w:fill="FFFFFF"/>
        <w:spacing w:before="100" w:beforeAutospacing="1" w:after="100" w:afterAutospacing="1" w:line="240" w:lineRule="auto"/>
        <w:outlineLvl w:val="2"/>
        <w:rPr>
          <w:rFonts w:ascii="Arial" w:eastAsia="Times New Roman" w:hAnsi="Arial" w:cs="Arial"/>
          <w:color w:val="000000"/>
          <w:kern w:val="0"/>
          <w:sz w:val="27"/>
          <w:szCs w:val="27"/>
          <w14:ligatures w14:val="none"/>
        </w:rPr>
      </w:pPr>
      <w:r w:rsidRPr="000C17D0">
        <w:rPr>
          <w:rFonts w:ascii="Arial" w:eastAsia="Times New Roman" w:hAnsi="Arial" w:cs="Arial"/>
          <w:color w:val="000000"/>
          <w:kern w:val="0"/>
          <w:sz w:val="27"/>
          <w:szCs w:val="27"/>
          <w14:ligatures w14:val="none"/>
        </w:rPr>
        <w:t>Set explicit refresh and retrain cycles</w:t>
      </w:r>
    </w:p>
    <w:p w14:paraId="466E8F42"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A single refresh cadence rarely fits the whole enterprise. Support guidance changes weekly, pricing logic changes monthly, HR policy changes quarterly; an AI system needs different refresh rules per domain, plus a retrain trigger that reflects operational impact.</w:t>
      </w:r>
    </w:p>
    <w:p w14:paraId="1A7AABB9"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lastRenderedPageBreak/>
        <w:t>A practical operating model:</w:t>
      </w:r>
    </w:p>
    <w:p w14:paraId="6F1A9C64" w14:textId="77777777" w:rsidR="000C17D0" w:rsidRPr="000C17D0" w:rsidRDefault="000C17D0" w:rsidP="000C17D0">
      <w:pPr>
        <w:numPr>
          <w:ilvl w:val="0"/>
          <w:numId w:val="21"/>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Domain-specific data recertification</w:t>
      </w:r>
      <w:r w:rsidRPr="000C17D0">
        <w:rPr>
          <w:rFonts w:ascii="Arial" w:eastAsia="Times New Roman" w:hAnsi="Arial" w:cs="Arial"/>
          <w:color w:val="4B4B4B"/>
          <w:kern w:val="0"/>
          <w14:ligatures w14:val="none"/>
        </w:rPr>
        <w:t>: require periodic recertification for high-impact knowledge sets (runbooks, escalation playbooks, policy docs) with an explicit “effective as of” marker and an owner sign-off.</w:t>
      </w:r>
    </w:p>
    <w:p w14:paraId="6AEE8D67" w14:textId="77777777" w:rsidR="000C17D0" w:rsidRPr="000C17D0" w:rsidRDefault="000C17D0" w:rsidP="000C17D0">
      <w:pPr>
        <w:numPr>
          <w:ilvl w:val="0"/>
          <w:numId w:val="21"/>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Event-driven retrain triggers</w:t>
      </w:r>
      <w:r w:rsidRPr="000C17D0">
        <w:rPr>
          <w:rFonts w:ascii="Arial" w:eastAsia="Times New Roman" w:hAnsi="Arial" w:cs="Arial"/>
          <w:color w:val="4B4B4B"/>
          <w:kern w:val="0"/>
          <w14:ligatures w14:val="none"/>
        </w:rPr>
        <w:t>: retrain when a measurable shift appears in label distributions, resolution codes, product taxonomy, or customer segmentation—not only on a calendar.</w:t>
      </w:r>
    </w:p>
    <w:p w14:paraId="5CB3A9F8" w14:textId="77777777" w:rsidR="000C17D0" w:rsidRPr="000C17D0" w:rsidRDefault="000C17D0" w:rsidP="000C17D0">
      <w:pPr>
        <w:numPr>
          <w:ilvl w:val="0"/>
          <w:numId w:val="21"/>
        </w:numPr>
        <w:shd w:val="clear" w:color="auto" w:fill="FFFFFF"/>
        <w:spacing w:before="100" w:beforeAutospacing="1" w:after="0"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Backtesting before rollout</w:t>
      </w:r>
      <w:r w:rsidRPr="000C17D0">
        <w:rPr>
          <w:rFonts w:ascii="Arial" w:eastAsia="Times New Roman" w:hAnsi="Arial" w:cs="Arial"/>
          <w:color w:val="4B4B4B"/>
          <w:kern w:val="0"/>
          <w14:ligatures w14:val="none"/>
        </w:rPr>
        <w:t>: run pre-release comparisons against a fixed benchmark set plus a recent “live slice” set so the system does not regress on new patterns that did not exist during initial training.</w:t>
      </w:r>
    </w:p>
    <w:p w14:paraId="738C6B2E"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This cadence should include the retrieval corpus, not just the model. Many production regressions come from content churn—renamed pages, moved folders, rewritten templates—rather than from algorithm changes.</w:t>
      </w:r>
    </w:p>
    <w:p w14:paraId="6CF8A69D" w14:textId="77777777" w:rsidR="000C17D0" w:rsidRPr="000C17D0" w:rsidRDefault="000C17D0" w:rsidP="000C17D0">
      <w:pPr>
        <w:shd w:val="clear" w:color="auto" w:fill="FFFFFF"/>
        <w:spacing w:before="100" w:beforeAutospacing="1" w:after="100" w:afterAutospacing="1" w:line="240" w:lineRule="auto"/>
        <w:outlineLvl w:val="2"/>
        <w:rPr>
          <w:rFonts w:ascii="Arial" w:eastAsia="Times New Roman" w:hAnsi="Arial" w:cs="Arial"/>
          <w:color w:val="000000"/>
          <w:kern w:val="0"/>
          <w:sz w:val="27"/>
          <w:szCs w:val="27"/>
          <w14:ligatures w14:val="none"/>
        </w:rPr>
      </w:pPr>
      <w:r w:rsidRPr="000C17D0">
        <w:rPr>
          <w:rFonts w:ascii="Arial" w:eastAsia="Times New Roman" w:hAnsi="Arial" w:cs="Arial"/>
          <w:color w:val="000000"/>
          <w:kern w:val="0"/>
          <w:sz w:val="27"/>
          <w:szCs w:val="27"/>
          <w14:ligatures w14:val="none"/>
        </w:rPr>
        <w:t>Link quality alerts to concrete remediation paths</w:t>
      </w:r>
    </w:p>
    <w:p w14:paraId="1A1CCC40"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Production-quality data controls need a short path from detection to correction. The fastest teams maintain playbooks that map a defect class to an owner, a fix, and a verification step that proves the fix worked.</w:t>
      </w:r>
    </w:p>
    <w:p w14:paraId="5DD4666D"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Examples of playbook-grade remediation paths:</w:t>
      </w:r>
    </w:p>
    <w:p w14:paraId="386A3FC3" w14:textId="77777777" w:rsidR="000C17D0" w:rsidRPr="000C17D0" w:rsidRDefault="000C17D0" w:rsidP="000C17D0">
      <w:pPr>
        <w:numPr>
          <w:ilvl w:val="0"/>
          <w:numId w:val="22"/>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Taxonomy expansion without coordination</w:t>
      </w:r>
      <w:r w:rsidRPr="000C17D0">
        <w:rPr>
          <w:rFonts w:ascii="Arial" w:eastAsia="Times New Roman" w:hAnsi="Arial" w:cs="Arial"/>
          <w:color w:val="4B4B4B"/>
          <w:kern w:val="0"/>
          <w14:ligatures w14:val="none"/>
        </w:rPr>
        <w:t>: introduce a controlled mapping layer, then reclassify impacted records so old and new categories coexist during a transition window.</w:t>
      </w:r>
    </w:p>
    <w:p w14:paraId="5F1CDF59" w14:textId="77777777" w:rsidR="000C17D0" w:rsidRPr="000C17D0" w:rsidRDefault="000C17D0" w:rsidP="000C17D0">
      <w:pPr>
        <w:numPr>
          <w:ilvl w:val="0"/>
          <w:numId w:val="22"/>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Identity resolution regression</w:t>
      </w:r>
      <w:r w:rsidRPr="000C17D0">
        <w:rPr>
          <w:rFonts w:ascii="Arial" w:eastAsia="Times New Roman" w:hAnsi="Arial" w:cs="Arial"/>
          <w:color w:val="4B4B4B"/>
          <w:kern w:val="0"/>
          <w14:ligatures w14:val="none"/>
        </w:rPr>
        <w:t>: roll back the merge rule, rebuild canonical entity tables, then re-run downstream joins that depend on those keys.</w:t>
      </w:r>
    </w:p>
    <w:p w14:paraId="71B14C6B" w14:textId="77777777" w:rsidR="000C17D0" w:rsidRPr="000C17D0" w:rsidRDefault="000C17D0" w:rsidP="000C17D0">
      <w:pPr>
        <w:numPr>
          <w:ilvl w:val="0"/>
          <w:numId w:val="22"/>
        </w:numPr>
        <w:shd w:val="clear" w:color="auto" w:fill="FFFFFF"/>
        <w:spacing w:before="100" w:beforeAutospacing="1" w:after="0"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Knowledge base contamination</w:t>
      </w:r>
      <w:r w:rsidRPr="000C17D0">
        <w:rPr>
          <w:rFonts w:ascii="Arial" w:eastAsia="Times New Roman" w:hAnsi="Arial" w:cs="Arial"/>
          <w:color w:val="4B4B4B"/>
          <w:kern w:val="0"/>
          <w14:ligatures w14:val="none"/>
        </w:rPr>
        <w:t>: quarantine low-trust content (unowned pages, expired policies, duplicated templates), then restore it only after recertification.</w:t>
      </w:r>
    </w:p>
    <w:p w14:paraId="39CDA513"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Verification should not rely on “looks correct.” Use explicit checks such as slice-level accuracy samples, join-match rates, and evidence consistency tests in retrieval outputs.</w:t>
      </w:r>
    </w:p>
    <w:p w14:paraId="21429BA7" w14:textId="77777777" w:rsidR="000C17D0" w:rsidRPr="000C17D0" w:rsidRDefault="000C17D0" w:rsidP="000C17D0">
      <w:pPr>
        <w:shd w:val="clear" w:color="auto" w:fill="FFFFFF"/>
        <w:spacing w:before="100" w:beforeAutospacing="1" w:after="100" w:afterAutospacing="1" w:line="240" w:lineRule="auto"/>
        <w:outlineLvl w:val="2"/>
        <w:rPr>
          <w:rFonts w:ascii="Arial" w:eastAsia="Times New Roman" w:hAnsi="Arial" w:cs="Arial"/>
          <w:color w:val="000000"/>
          <w:kern w:val="0"/>
          <w:sz w:val="27"/>
          <w:szCs w:val="27"/>
          <w14:ligatures w14:val="none"/>
        </w:rPr>
      </w:pPr>
      <w:r w:rsidRPr="000C17D0">
        <w:rPr>
          <w:rFonts w:ascii="Arial" w:eastAsia="Times New Roman" w:hAnsi="Arial" w:cs="Arial"/>
          <w:color w:val="000000"/>
          <w:kern w:val="0"/>
          <w:sz w:val="27"/>
          <w:szCs w:val="27"/>
          <w14:ligatures w14:val="none"/>
        </w:rPr>
        <w:t>Use AI to enforce data quality at scale</w:t>
      </w:r>
    </w:p>
    <w:p w14:paraId="135A0FAA"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AI can help maintain quality, but it should operate as a controlled assistant to data processes—not as an opaque editor. The strongest use cases target repeatable patterns: anomalies, duplicates, and inconsistent labels.</w:t>
      </w:r>
    </w:p>
    <w:p w14:paraId="0117B6DE"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High-leverage automation patterns include:</w:t>
      </w:r>
    </w:p>
    <w:p w14:paraId="05CF086B" w14:textId="77777777" w:rsidR="000C17D0" w:rsidRPr="000C17D0" w:rsidRDefault="000C17D0" w:rsidP="000C17D0">
      <w:pPr>
        <w:numPr>
          <w:ilvl w:val="0"/>
          <w:numId w:val="23"/>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Automated label audits</w:t>
      </w:r>
      <w:r w:rsidRPr="000C17D0">
        <w:rPr>
          <w:rFonts w:ascii="Arial" w:eastAsia="Times New Roman" w:hAnsi="Arial" w:cs="Arial"/>
          <w:color w:val="4B4B4B"/>
          <w:kern w:val="0"/>
          <w14:ligatures w14:val="none"/>
        </w:rPr>
        <w:t>: detect label noise by comparing model confidence to historical label patterns; route uncertain classes to human review with clear guidelines.</w:t>
      </w:r>
    </w:p>
    <w:p w14:paraId="728292F6" w14:textId="77777777" w:rsidR="000C17D0" w:rsidRPr="000C17D0" w:rsidRDefault="000C17D0" w:rsidP="000C17D0">
      <w:pPr>
        <w:numPr>
          <w:ilvl w:val="0"/>
          <w:numId w:val="23"/>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lastRenderedPageBreak/>
        <w:t>Near-duplicate suppression for retrieval corpora</w:t>
      </w:r>
      <w:r w:rsidRPr="000C17D0">
        <w:rPr>
          <w:rFonts w:ascii="Arial" w:eastAsia="Times New Roman" w:hAnsi="Arial" w:cs="Arial"/>
          <w:color w:val="4B4B4B"/>
          <w:kern w:val="0"/>
          <w14:ligatures w14:val="none"/>
        </w:rPr>
        <w:t>: cluster highly similar documents and select a canonical source based on recency, ownership, and policy state; this reduces “template echo” in retrieved context.</w:t>
      </w:r>
    </w:p>
    <w:p w14:paraId="164CE583" w14:textId="77777777" w:rsidR="000C17D0" w:rsidRPr="000C17D0" w:rsidRDefault="000C17D0" w:rsidP="000C17D0">
      <w:pPr>
        <w:numPr>
          <w:ilvl w:val="0"/>
          <w:numId w:val="23"/>
        </w:numPr>
        <w:shd w:val="clear" w:color="auto" w:fill="FFFFFF"/>
        <w:spacing w:before="100" w:beforeAutospacing="1" w:after="0"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Sensitive data detection</w:t>
      </w:r>
      <w:r w:rsidRPr="000C17D0">
        <w:rPr>
          <w:rFonts w:ascii="Arial" w:eastAsia="Times New Roman" w:hAnsi="Arial" w:cs="Arial"/>
          <w:color w:val="4B4B4B"/>
          <w:kern w:val="0"/>
          <w14:ligatures w14:val="none"/>
        </w:rPr>
        <w:t>: flag unexpected PII in documents and ticket fields before it enters AI-accessible indexes; this supports privacy controls while reducing downstream remediation work.</w:t>
      </w:r>
    </w:p>
    <w:p w14:paraId="1F0D914F"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These controls work best with tight logging: what rule fired, what content changed, and which downstream systems received the corrected version.</w:t>
      </w:r>
    </w:p>
    <w:p w14:paraId="668C3872" w14:textId="77777777" w:rsidR="000C17D0" w:rsidRPr="000C17D0" w:rsidRDefault="000C17D0" w:rsidP="000C17D0">
      <w:pPr>
        <w:shd w:val="clear" w:color="auto" w:fill="FFFFFF"/>
        <w:spacing w:before="100" w:beforeAutospacing="1" w:after="100" w:afterAutospacing="1" w:line="240" w:lineRule="auto"/>
        <w:outlineLvl w:val="2"/>
        <w:rPr>
          <w:rFonts w:ascii="Arial" w:eastAsia="Times New Roman" w:hAnsi="Arial" w:cs="Arial"/>
          <w:color w:val="000000"/>
          <w:kern w:val="0"/>
          <w:sz w:val="27"/>
          <w:szCs w:val="27"/>
          <w14:ligatures w14:val="none"/>
        </w:rPr>
      </w:pPr>
      <w:r w:rsidRPr="000C17D0">
        <w:rPr>
          <w:rFonts w:ascii="Arial" w:eastAsia="Times New Roman" w:hAnsi="Arial" w:cs="Arial"/>
          <w:color w:val="000000"/>
          <w:kern w:val="0"/>
          <w:sz w:val="27"/>
          <w:szCs w:val="27"/>
          <w14:ligatures w14:val="none"/>
        </w:rPr>
        <w:t>Make evaluation a production control plane</w:t>
      </w:r>
    </w:p>
    <w:p w14:paraId="2C5E68D3"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Production evaluation should function as a quality gate and an early-warning system. It should cover both “did the system find the right evidence?” and “did it use that evidence correctly?”—because many failures originate in context selection rather than generation.</w:t>
      </w:r>
    </w:p>
    <w:p w14:paraId="3CE82059"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Maintain a rolling evaluation program with three layers:</w:t>
      </w:r>
    </w:p>
    <w:p w14:paraId="302DCAED" w14:textId="77777777" w:rsidR="000C17D0" w:rsidRPr="000C17D0" w:rsidRDefault="000C17D0" w:rsidP="000C17D0">
      <w:pPr>
        <w:numPr>
          <w:ilvl w:val="0"/>
          <w:numId w:val="24"/>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Evidence fidelity checks</w:t>
      </w:r>
      <w:r w:rsidRPr="000C17D0">
        <w:rPr>
          <w:rFonts w:ascii="Arial" w:eastAsia="Times New Roman" w:hAnsi="Arial" w:cs="Arial"/>
          <w:color w:val="4B4B4B"/>
          <w:kern w:val="0"/>
          <w14:ligatures w14:val="none"/>
        </w:rPr>
        <w:t>: confirm that cited sources contain the asserted facts; track mismatch rate and citation specificity (broad doc cite vs exact passage cite).</w:t>
      </w:r>
    </w:p>
    <w:p w14:paraId="67CEC2B5" w14:textId="77777777" w:rsidR="000C17D0" w:rsidRPr="000C17D0" w:rsidRDefault="000C17D0" w:rsidP="000C17D0">
      <w:pPr>
        <w:numPr>
          <w:ilvl w:val="0"/>
          <w:numId w:val="24"/>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Workflow execution checks</w:t>
      </w:r>
      <w:r w:rsidRPr="000C17D0">
        <w:rPr>
          <w:rFonts w:ascii="Arial" w:eastAsia="Times New Roman" w:hAnsi="Arial" w:cs="Arial"/>
          <w:color w:val="4B4B4B"/>
          <w:kern w:val="0"/>
          <w14:ligatures w14:val="none"/>
        </w:rPr>
        <w:t>: measure action correctness for systems that write back to tools (ticket updates, notifications, record creation); include rollback and correction rates.</w:t>
      </w:r>
    </w:p>
    <w:p w14:paraId="02108714" w14:textId="77777777" w:rsidR="000C17D0" w:rsidRPr="000C17D0" w:rsidRDefault="000C17D0" w:rsidP="000C17D0">
      <w:pPr>
        <w:numPr>
          <w:ilvl w:val="0"/>
          <w:numId w:val="24"/>
        </w:numPr>
        <w:shd w:val="clear" w:color="auto" w:fill="FFFFFF"/>
        <w:spacing w:before="100" w:beforeAutospacing="1" w:after="0"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Safety and access checks</w:t>
      </w:r>
      <w:r w:rsidRPr="000C17D0">
        <w:rPr>
          <w:rFonts w:ascii="Arial" w:eastAsia="Times New Roman" w:hAnsi="Arial" w:cs="Arial"/>
          <w:color w:val="4B4B4B"/>
          <w:kern w:val="0"/>
          <w14:ligatures w14:val="none"/>
        </w:rPr>
        <w:t>: verify that outputs never reference restricted content for a given user role; treat any leakage as a quality defect, not only a security defect.</w:t>
      </w:r>
    </w:p>
    <w:p w14:paraId="4F1ABE44"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Automated evaluators help scale these checks across hundreds of scenarios; targeted human review should focus on disputed cases, sensitive domains, and newly introduced workflows.</w:t>
      </w:r>
    </w:p>
    <w:p w14:paraId="500212CB" w14:textId="77777777" w:rsidR="000C17D0" w:rsidRPr="000C17D0" w:rsidRDefault="000C17D0" w:rsidP="000C17D0">
      <w:pPr>
        <w:shd w:val="clear" w:color="auto" w:fill="FFFFFF"/>
        <w:spacing w:before="100" w:beforeAutospacing="1" w:after="100" w:afterAutospacing="1" w:line="240" w:lineRule="auto"/>
        <w:outlineLvl w:val="2"/>
        <w:rPr>
          <w:rFonts w:ascii="Arial" w:eastAsia="Times New Roman" w:hAnsi="Arial" w:cs="Arial"/>
          <w:color w:val="000000"/>
          <w:kern w:val="0"/>
          <w:sz w:val="27"/>
          <w:szCs w:val="27"/>
          <w14:ligatures w14:val="none"/>
        </w:rPr>
      </w:pPr>
      <w:r w:rsidRPr="000C17D0">
        <w:rPr>
          <w:rFonts w:ascii="Arial" w:eastAsia="Times New Roman" w:hAnsi="Arial" w:cs="Arial"/>
          <w:color w:val="000000"/>
          <w:kern w:val="0"/>
          <w:sz w:val="27"/>
          <w:szCs w:val="27"/>
          <w14:ligatures w14:val="none"/>
        </w:rPr>
        <w:t>Align data quality work with business KPIs in high-impact domains</w:t>
      </w:r>
    </w:p>
    <w:p w14:paraId="7A97C94A"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Data-quality improvements should show up as better operational performance, not only better internal scores. In support, for example, small retrieval errors can cascade into longer case cycles and inconsistent guidance across agents.</w:t>
      </w:r>
    </w:p>
    <w:p w14:paraId="2C120A07"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Use KPI pairs that connect system behavior to business impact:</w:t>
      </w:r>
    </w:p>
    <w:p w14:paraId="4B1788D5" w14:textId="77777777" w:rsidR="000C17D0" w:rsidRPr="000C17D0" w:rsidRDefault="000C17D0" w:rsidP="000C17D0">
      <w:pPr>
        <w:numPr>
          <w:ilvl w:val="0"/>
          <w:numId w:val="25"/>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First-contact resolution rate ↔ evidence precision</w:t>
      </w:r>
      <w:r w:rsidRPr="000C17D0">
        <w:rPr>
          <w:rFonts w:ascii="Arial" w:eastAsia="Times New Roman" w:hAnsi="Arial" w:cs="Arial"/>
          <w:color w:val="4B4B4B"/>
          <w:kern w:val="0"/>
          <w14:ligatures w14:val="none"/>
        </w:rPr>
        <w:t>: improvements often correlate with fewer irrelevant sources in the retrieved set and higher use of authoritative articles.</w:t>
      </w:r>
    </w:p>
    <w:p w14:paraId="60E9287F" w14:textId="77777777" w:rsidR="000C17D0" w:rsidRPr="000C17D0" w:rsidRDefault="000C17D0" w:rsidP="000C17D0">
      <w:pPr>
        <w:numPr>
          <w:ilvl w:val="0"/>
          <w:numId w:val="25"/>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Reopen rate ↔ knowledge accuracy and lifecycle control</w:t>
      </w:r>
      <w:r w:rsidRPr="000C17D0">
        <w:rPr>
          <w:rFonts w:ascii="Arial" w:eastAsia="Times New Roman" w:hAnsi="Arial" w:cs="Arial"/>
          <w:color w:val="4B4B4B"/>
          <w:kern w:val="0"/>
          <w14:ligatures w14:val="none"/>
        </w:rPr>
        <w:t>: rising reopen rates frequently track to stale procedures or conflicting policy versions.</w:t>
      </w:r>
    </w:p>
    <w:p w14:paraId="6BC37729" w14:textId="77777777" w:rsidR="000C17D0" w:rsidRPr="000C17D0" w:rsidRDefault="000C17D0" w:rsidP="000C17D0">
      <w:pPr>
        <w:numPr>
          <w:ilvl w:val="0"/>
          <w:numId w:val="25"/>
        </w:numPr>
        <w:shd w:val="clear" w:color="auto" w:fill="FFFFFF"/>
        <w:spacing w:before="100" w:beforeAutospacing="1" w:after="0"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Average handle time ↔ context completeness</w:t>
      </w:r>
      <w:r w:rsidRPr="000C17D0">
        <w:rPr>
          <w:rFonts w:ascii="Arial" w:eastAsia="Times New Roman" w:hAnsi="Arial" w:cs="Arial"/>
          <w:color w:val="4B4B4B"/>
          <w:kern w:val="0"/>
          <w14:ligatures w14:val="none"/>
        </w:rPr>
        <w:t>: reductions often follow better entity linkage across tickets, customer history, and product changes.</w:t>
      </w:r>
    </w:p>
    <w:p w14:paraId="44BF56BB"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lastRenderedPageBreak/>
        <w:t>In engineering operations, track incident triage time alongside join integrity and runbook recertification coverage. In HR and IT, track policy exception volume alongside document state hygiene and access correctness.</w:t>
      </w:r>
    </w:p>
    <w:p w14:paraId="7B6F20EB" w14:textId="77777777" w:rsidR="000C17D0" w:rsidRPr="000C17D0" w:rsidRDefault="000C17D0" w:rsidP="000C17D0">
      <w:pPr>
        <w:shd w:val="clear" w:color="auto" w:fill="FFFFFF"/>
        <w:spacing w:before="100" w:beforeAutospacing="1" w:after="100" w:afterAutospacing="1" w:line="240" w:lineRule="auto"/>
        <w:outlineLvl w:val="2"/>
        <w:rPr>
          <w:rFonts w:ascii="Arial" w:eastAsia="Times New Roman" w:hAnsi="Arial" w:cs="Arial"/>
          <w:color w:val="000000"/>
          <w:kern w:val="0"/>
          <w:sz w:val="27"/>
          <w:szCs w:val="27"/>
          <w14:ligatures w14:val="none"/>
        </w:rPr>
      </w:pPr>
      <w:r w:rsidRPr="000C17D0">
        <w:rPr>
          <w:rFonts w:ascii="Arial" w:eastAsia="Times New Roman" w:hAnsi="Arial" w:cs="Arial"/>
          <w:color w:val="000000"/>
          <w:kern w:val="0"/>
          <w:sz w:val="27"/>
          <w:szCs w:val="27"/>
          <w14:ligatures w14:val="none"/>
        </w:rPr>
        <w:t>Evolve governance as AI moves from answers to actions</w:t>
      </w:r>
    </w:p>
    <w:p w14:paraId="714EC12B"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As AI systems begin to draft responses, update records, or trigger workflows, governance must expand beyond “who can see what” to “what changes the system can commit” and “under what evidence standard.” That expansion requires tighter controls on provenance, approval, and rollback.</w:t>
      </w:r>
    </w:p>
    <w:p w14:paraId="75557ABD"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Key governance upgrades that support action-oriented AI:</w:t>
      </w:r>
    </w:p>
    <w:p w14:paraId="6B52A90E" w14:textId="77777777" w:rsidR="000C17D0" w:rsidRPr="000C17D0" w:rsidRDefault="000C17D0" w:rsidP="000C17D0">
      <w:pPr>
        <w:numPr>
          <w:ilvl w:val="0"/>
          <w:numId w:val="26"/>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Action-scoped data contracts</w:t>
      </w:r>
      <w:r w:rsidRPr="000C17D0">
        <w:rPr>
          <w:rFonts w:ascii="Arial" w:eastAsia="Times New Roman" w:hAnsi="Arial" w:cs="Arial"/>
          <w:color w:val="4B4B4B"/>
          <w:kern w:val="0"/>
          <w14:ligatures w14:val="none"/>
        </w:rPr>
        <w:t>: define mandatory fields, acceptable evidence sources, and disallowed inputs for each action type (for example, “close a ticket” requires an explicit resolution code plus an authoritative reference).</w:t>
      </w:r>
    </w:p>
    <w:p w14:paraId="5D2C7CCA" w14:textId="77777777" w:rsidR="000C17D0" w:rsidRPr="000C17D0" w:rsidRDefault="000C17D0" w:rsidP="000C17D0">
      <w:pPr>
        <w:numPr>
          <w:ilvl w:val="0"/>
          <w:numId w:val="26"/>
        </w:numPr>
        <w:shd w:val="clear" w:color="auto" w:fill="FFFFFF"/>
        <w:spacing w:before="100" w:beforeAutospacing="1"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Privilege boundaries for automation</w:t>
      </w:r>
      <w:r w:rsidRPr="000C17D0">
        <w:rPr>
          <w:rFonts w:ascii="Arial" w:eastAsia="Times New Roman" w:hAnsi="Arial" w:cs="Arial"/>
          <w:color w:val="4B4B4B"/>
          <w:kern w:val="0"/>
          <w14:ligatures w14:val="none"/>
        </w:rPr>
        <w:t>: separate read access from write authority; enforce step-up approval for high-impact actions and sensitive domains.</w:t>
      </w:r>
    </w:p>
    <w:p w14:paraId="0EBC3138" w14:textId="77777777" w:rsidR="000C17D0" w:rsidRPr="000C17D0" w:rsidRDefault="000C17D0" w:rsidP="000C17D0">
      <w:pPr>
        <w:numPr>
          <w:ilvl w:val="0"/>
          <w:numId w:val="26"/>
        </w:numPr>
        <w:shd w:val="clear" w:color="auto" w:fill="FFFFFF"/>
        <w:spacing w:before="100" w:beforeAutospacing="1" w:after="0" w:line="240" w:lineRule="auto"/>
        <w:rPr>
          <w:rFonts w:ascii="Arial" w:eastAsia="Times New Roman" w:hAnsi="Arial" w:cs="Arial"/>
          <w:color w:val="4B4B4B"/>
          <w:kern w:val="0"/>
          <w14:ligatures w14:val="none"/>
        </w:rPr>
      </w:pPr>
      <w:r w:rsidRPr="000C17D0">
        <w:rPr>
          <w:rFonts w:ascii="Arial" w:eastAsia="Times New Roman" w:hAnsi="Arial" w:cs="Arial"/>
          <w:b/>
          <w:bCs/>
          <w:color w:val="4B4B4B"/>
          <w:kern w:val="0"/>
          <w14:ligatures w14:val="none"/>
        </w:rPr>
        <w:t>Change management for upstream systems</w:t>
      </w:r>
      <w:r w:rsidRPr="000C17D0">
        <w:rPr>
          <w:rFonts w:ascii="Arial" w:eastAsia="Times New Roman" w:hAnsi="Arial" w:cs="Arial"/>
          <w:color w:val="4B4B4B"/>
          <w:kern w:val="0"/>
          <w14:ligatures w14:val="none"/>
        </w:rPr>
        <w:t>: require review for schema updates, permission model changes, and taxonomy changes that affect AI-critical fields; attach post-change validation as a release criterion.</w:t>
      </w:r>
    </w:p>
    <w:p w14:paraId="64B8F108"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As capabilities expand, governance should also cover retention and provenance expectations so teams can recreate what the AI saw at the time of an action, with a clear chain from source data to decision to outcome.</w:t>
      </w:r>
    </w:p>
    <w:p w14:paraId="2603A8E2" w14:textId="77777777" w:rsidR="000C17D0" w:rsidRPr="000C17D0" w:rsidRDefault="000C17D0" w:rsidP="000C17D0">
      <w:pPr>
        <w:shd w:val="clear" w:color="auto" w:fill="FFFFFF"/>
        <w:spacing w:after="100" w:afterAutospacing="1" w:line="240" w:lineRule="auto"/>
        <w:rPr>
          <w:rFonts w:ascii="Arial" w:eastAsia="Times New Roman" w:hAnsi="Arial" w:cs="Arial"/>
          <w:color w:val="4B4B4B"/>
          <w:kern w:val="0"/>
          <w14:ligatures w14:val="none"/>
        </w:rPr>
      </w:pPr>
      <w:r w:rsidRPr="000C17D0">
        <w:rPr>
          <w:rFonts w:ascii="Arial" w:eastAsia="Times New Roman" w:hAnsi="Arial" w:cs="Arial"/>
          <w:color w:val="4B4B4B"/>
          <w:kern w:val="0"/>
          <w14:ligatures w14:val="none"/>
        </w:rPr>
        <w:t>Data quality isn't a prerequisite you check off before AI deployment — it's an ongoing discipline that determines whether your AI investment compounds in value or quietly erodes trust. The organizations that treat it as a living practice, not a one-time project, are the ones building AI systems their teams actually rely on.</w:t>
      </w:r>
    </w:p>
    <w:p w14:paraId="2A6DB816" w14:textId="77777777" w:rsidR="001571DE" w:rsidRDefault="001571DE"/>
    <w:sectPr w:rsidR="001571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0107"/>
    <w:multiLevelType w:val="multilevel"/>
    <w:tmpl w:val="45B4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82AFC"/>
    <w:multiLevelType w:val="multilevel"/>
    <w:tmpl w:val="6A78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14BA6"/>
    <w:multiLevelType w:val="multilevel"/>
    <w:tmpl w:val="A7FC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1662D"/>
    <w:multiLevelType w:val="multilevel"/>
    <w:tmpl w:val="4EFA6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D83827"/>
    <w:multiLevelType w:val="multilevel"/>
    <w:tmpl w:val="F972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1353F"/>
    <w:multiLevelType w:val="multilevel"/>
    <w:tmpl w:val="DD30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35803"/>
    <w:multiLevelType w:val="multilevel"/>
    <w:tmpl w:val="8C56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E7408"/>
    <w:multiLevelType w:val="multilevel"/>
    <w:tmpl w:val="3EAE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27C10"/>
    <w:multiLevelType w:val="multilevel"/>
    <w:tmpl w:val="8CAE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514D6E"/>
    <w:multiLevelType w:val="multilevel"/>
    <w:tmpl w:val="91E0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82200B"/>
    <w:multiLevelType w:val="multilevel"/>
    <w:tmpl w:val="052E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DD7BF7"/>
    <w:multiLevelType w:val="multilevel"/>
    <w:tmpl w:val="F6BA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5F5E9E"/>
    <w:multiLevelType w:val="multilevel"/>
    <w:tmpl w:val="24B4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766ADC"/>
    <w:multiLevelType w:val="multilevel"/>
    <w:tmpl w:val="AAF4B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3E2142"/>
    <w:multiLevelType w:val="multilevel"/>
    <w:tmpl w:val="31C8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7C5419"/>
    <w:multiLevelType w:val="multilevel"/>
    <w:tmpl w:val="0850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845E57"/>
    <w:multiLevelType w:val="multilevel"/>
    <w:tmpl w:val="E84A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042E9C"/>
    <w:multiLevelType w:val="multilevel"/>
    <w:tmpl w:val="973E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B34B39"/>
    <w:multiLevelType w:val="multilevel"/>
    <w:tmpl w:val="2404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EF27B8"/>
    <w:multiLevelType w:val="multilevel"/>
    <w:tmpl w:val="0136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D705F6"/>
    <w:multiLevelType w:val="multilevel"/>
    <w:tmpl w:val="B2DA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44C12"/>
    <w:multiLevelType w:val="multilevel"/>
    <w:tmpl w:val="0A2A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C56545"/>
    <w:multiLevelType w:val="multilevel"/>
    <w:tmpl w:val="A694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092527"/>
    <w:multiLevelType w:val="multilevel"/>
    <w:tmpl w:val="07EC4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1B27E8"/>
    <w:multiLevelType w:val="multilevel"/>
    <w:tmpl w:val="49A2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E5462F"/>
    <w:multiLevelType w:val="multilevel"/>
    <w:tmpl w:val="9DF4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982438">
    <w:abstractNumId w:val="7"/>
  </w:num>
  <w:num w:numId="2" w16cid:durableId="2074696454">
    <w:abstractNumId w:val="0"/>
  </w:num>
  <w:num w:numId="3" w16cid:durableId="489907533">
    <w:abstractNumId w:val="15"/>
  </w:num>
  <w:num w:numId="4" w16cid:durableId="1817450560">
    <w:abstractNumId w:val="1"/>
  </w:num>
  <w:num w:numId="5" w16cid:durableId="41835290">
    <w:abstractNumId w:val="22"/>
  </w:num>
  <w:num w:numId="6" w16cid:durableId="1648510115">
    <w:abstractNumId w:val="13"/>
  </w:num>
  <w:num w:numId="7" w16cid:durableId="1550527767">
    <w:abstractNumId w:val="19"/>
  </w:num>
  <w:num w:numId="8" w16cid:durableId="1755978214">
    <w:abstractNumId w:val="5"/>
  </w:num>
  <w:num w:numId="9" w16cid:durableId="1148281161">
    <w:abstractNumId w:val="14"/>
  </w:num>
  <w:num w:numId="10" w16cid:durableId="1473981220">
    <w:abstractNumId w:val="24"/>
  </w:num>
  <w:num w:numId="11" w16cid:durableId="626661029">
    <w:abstractNumId w:val="16"/>
  </w:num>
  <w:num w:numId="12" w16cid:durableId="1248539710">
    <w:abstractNumId w:val="23"/>
  </w:num>
  <w:num w:numId="13" w16cid:durableId="752359766">
    <w:abstractNumId w:val="21"/>
  </w:num>
  <w:num w:numId="14" w16cid:durableId="899636893">
    <w:abstractNumId w:val="8"/>
  </w:num>
  <w:num w:numId="15" w16cid:durableId="47848801">
    <w:abstractNumId w:val="2"/>
  </w:num>
  <w:num w:numId="16" w16cid:durableId="1731613727">
    <w:abstractNumId w:val="18"/>
  </w:num>
  <w:num w:numId="17" w16cid:durableId="537200290">
    <w:abstractNumId w:val="25"/>
  </w:num>
  <w:num w:numId="18" w16cid:durableId="562177083">
    <w:abstractNumId w:val="4"/>
  </w:num>
  <w:num w:numId="19" w16cid:durableId="1425951707">
    <w:abstractNumId w:val="9"/>
  </w:num>
  <w:num w:numId="20" w16cid:durableId="20935614">
    <w:abstractNumId w:val="20"/>
  </w:num>
  <w:num w:numId="21" w16cid:durableId="1941059204">
    <w:abstractNumId w:val="3"/>
  </w:num>
  <w:num w:numId="22" w16cid:durableId="1797019187">
    <w:abstractNumId w:val="12"/>
  </w:num>
  <w:num w:numId="23" w16cid:durableId="600332227">
    <w:abstractNumId w:val="10"/>
  </w:num>
  <w:num w:numId="24" w16cid:durableId="2097819191">
    <w:abstractNumId w:val="6"/>
  </w:num>
  <w:num w:numId="25" w16cid:durableId="1342855495">
    <w:abstractNumId w:val="11"/>
  </w:num>
  <w:num w:numId="26" w16cid:durableId="65722486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7D0"/>
    <w:rsid w:val="000C17D0"/>
    <w:rsid w:val="001571DE"/>
    <w:rsid w:val="001A0421"/>
    <w:rsid w:val="00211D28"/>
    <w:rsid w:val="005860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46C207"/>
  <w15:chartTrackingRefBased/>
  <w15:docId w15:val="{5ADD8CB8-E5B6-DF46-AF08-365BF6D11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7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17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C17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7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7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7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7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7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7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7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17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C17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7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7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7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7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7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7D0"/>
    <w:rPr>
      <w:rFonts w:eastAsiaTheme="majorEastAsia" w:cstheme="majorBidi"/>
      <w:color w:val="272727" w:themeColor="text1" w:themeTint="D8"/>
    </w:rPr>
  </w:style>
  <w:style w:type="paragraph" w:styleId="Title">
    <w:name w:val="Title"/>
    <w:basedOn w:val="Normal"/>
    <w:next w:val="Normal"/>
    <w:link w:val="TitleChar"/>
    <w:uiPriority w:val="10"/>
    <w:qFormat/>
    <w:rsid w:val="000C17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7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7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7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7D0"/>
    <w:pPr>
      <w:spacing w:before="160"/>
      <w:jc w:val="center"/>
    </w:pPr>
    <w:rPr>
      <w:i/>
      <w:iCs/>
      <w:color w:val="404040" w:themeColor="text1" w:themeTint="BF"/>
    </w:rPr>
  </w:style>
  <w:style w:type="character" w:customStyle="1" w:styleId="QuoteChar">
    <w:name w:val="Quote Char"/>
    <w:basedOn w:val="DefaultParagraphFont"/>
    <w:link w:val="Quote"/>
    <w:uiPriority w:val="29"/>
    <w:rsid w:val="000C17D0"/>
    <w:rPr>
      <w:i/>
      <w:iCs/>
      <w:color w:val="404040" w:themeColor="text1" w:themeTint="BF"/>
    </w:rPr>
  </w:style>
  <w:style w:type="paragraph" w:styleId="ListParagraph">
    <w:name w:val="List Paragraph"/>
    <w:basedOn w:val="Normal"/>
    <w:uiPriority w:val="34"/>
    <w:qFormat/>
    <w:rsid w:val="000C17D0"/>
    <w:pPr>
      <w:ind w:left="720"/>
      <w:contextualSpacing/>
    </w:pPr>
  </w:style>
  <w:style w:type="character" w:styleId="IntenseEmphasis">
    <w:name w:val="Intense Emphasis"/>
    <w:basedOn w:val="DefaultParagraphFont"/>
    <w:uiPriority w:val="21"/>
    <w:qFormat/>
    <w:rsid w:val="000C17D0"/>
    <w:rPr>
      <w:i/>
      <w:iCs/>
      <w:color w:val="0F4761" w:themeColor="accent1" w:themeShade="BF"/>
    </w:rPr>
  </w:style>
  <w:style w:type="paragraph" w:styleId="IntenseQuote">
    <w:name w:val="Intense Quote"/>
    <w:basedOn w:val="Normal"/>
    <w:next w:val="Normal"/>
    <w:link w:val="IntenseQuoteChar"/>
    <w:uiPriority w:val="30"/>
    <w:qFormat/>
    <w:rsid w:val="000C17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7D0"/>
    <w:rPr>
      <w:i/>
      <w:iCs/>
      <w:color w:val="0F4761" w:themeColor="accent1" w:themeShade="BF"/>
    </w:rPr>
  </w:style>
  <w:style w:type="character" w:styleId="IntenseReference">
    <w:name w:val="Intense Reference"/>
    <w:basedOn w:val="DefaultParagraphFont"/>
    <w:uiPriority w:val="32"/>
    <w:qFormat/>
    <w:rsid w:val="000C17D0"/>
    <w:rPr>
      <w:b/>
      <w:bCs/>
      <w:smallCaps/>
      <w:color w:val="0F4761" w:themeColor="accent1" w:themeShade="BF"/>
      <w:spacing w:val="5"/>
    </w:rPr>
  </w:style>
  <w:style w:type="paragraph" w:styleId="NormalWeb">
    <w:name w:val="Normal (Web)"/>
    <w:basedOn w:val="Normal"/>
    <w:uiPriority w:val="99"/>
    <w:semiHidden/>
    <w:unhideWhenUsed/>
    <w:rsid w:val="000C17D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C17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5775</Words>
  <Characters>32921</Characters>
  <Application>Microsoft Office Word</Application>
  <DocSecurity>0</DocSecurity>
  <Lines>274</Lines>
  <Paragraphs>77</Paragraphs>
  <ScaleCrop>false</ScaleCrop>
  <Company/>
  <LinksUpToDate>false</LinksUpToDate>
  <CharactersWithSpaces>38619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Bhavitha Bojja</dc:creator>
  <cp:keywords/>
  <dc:description/>
  <cp:lastModifiedBy>Bhavitha Bojja</cp:lastModifiedBy>
  <cp:revision>1</cp:revision>
  <dcterms:created xsi:type="dcterms:W3CDTF">2026-04-20T22:22:00Z</dcterms:created>
  <dcterms:modified xsi:type="dcterms:W3CDTF">2026-04-20T22:22:00Z</dcterms:modified>
</cp:coreProperties>
</file>