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1"/>
        <w:spacing w:after="200" w:before="0" w:line="240" w:lineRule="auto"/>
        <w:rPr>
          <w:rFonts w:ascii="Times New Roman" w:cs="Times New Roman" w:eastAsia="Times New Roman" w:hAnsi="Times New Roman"/>
          <w:b w:val="1"/>
          <w:bCs w:val="1"/>
          <w:sz w:val="66"/>
          <w:szCs w:val="66"/>
        </w:rPr>
      </w:pPr>
      <w:bookmarkStart w:colFirst="0" w:colLast="0" w:name="_4hqtrimc9f0o" w:id="0"/>
      <w:bookmarkEnd w:id="0"/>
      <w:r w:rsidDel="00000000" w:rsidR="00000000" w:rsidRPr="00000000">
        <w:rPr>
          <w:rtl w:val="0"/>
        </w:rPr>
      </w:r>
    </w:p>
    <w:p w:rsidR="00000000" w:rsidDel="00000000" w:rsidP="00000000" w:rsidRDefault="00000000" w:rsidRPr="00000000" w14:paraId="00000002">
      <w:pPr>
        <w:pStyle w:val="Title"/>
        <w:keepNext w:val="0"/>
        <w:keepLines w:val="0"/>
        <w:widowControl w:val="1"/>
        <w:spacing w:after="200" w:before="0" w:line="240" w:lineRule="auto"/>
        <w:rPr>
          <w:rFonts w:ascii="Times New Roman" w:cs="Times New Roman" w:eastAsia="Times New Roman" w:hAnsi="Times New Roman"/>
          <w:b w:val="1"/>
          <w:bCs w:val="1"/>
          <w:sz w:val="66"/>
          <w:szCs w:val="66"/>
        </w:rPr>
      </w:pPr>
      <w:bookmarkStart w:colFirst="0" w:colLast="0" w:name="_p1pnhot1s1gl" w:id="1"/>
      <w:bookmarkEnd w:id="1"/>
      <w:r w:rsidDel="00000000" w:rsidR="00000000" w:rsidRPr="00000000">
        <w:rPr>
          <w:rtl w:val="0"/>
        </w:rPr>
      </w:r>
    </w:p>
    <w:p w:rsidR="00000000" w:rsidDel="00000000" w:rsidP="00000000" w:rsidRDefault="00000000" w:rsidRPr="00000000" w14:paraId="00000003">
      <w:pPr>
        <w:pStyle w:val="Title"/>
        <w:keepNext w:val="0"/>
        <w:keepLines w:val="0"/>
        <w:widowControl w:val="1"/>
        <w:spacing w:after="200" w:before="0" w:line="240" w:lineRule="auto"/>
        <w:rPr>
          <w:rFonts w:ascii="Times New Roman" w:cs="Times New Roman" w:eastAsia="Times New Roman" w:hAnsi="Times New Roman"/>
          <w:b w:val="1"/>
          <w:bCs w:val="1"/>
          <w:sz w:val="66"/>
          <w:szCs w:val="66"/>
        </w:rPr>
      </w:pPr>
      <w:bookmarkStart w:colFirst="0" w:colLast="0" w:name="_a7a54okhmqe8" w:id="2"/>
      <w:bookmarkEnd w:id="2"/>
      <w:r w:rsidDel="00000000" w:rsidR="00000000" w:rsidRPr="00000000">
        <w:rPr>
          <w:rtl w:val="0"/>
        </w:rPr>
      </w:r>
    </w:p>
    <w:p w:rsidR="00000000" w:rsidDel="00000000" w:rsidP="00000000" w:rsidRDefault="00000000" w:rsidRPr="00000000" w14:paraId="00000004">
      <w:pPr>
        <w:pStyle w:val="Title"/>
        <w:keepNext w:val="0"/>
        <w:keepLines w:val="0"/>
        <w:widowControl w:val="1"/>
        <w:spacing w:after="200" w:before="0" w:line="240" w:lineRule="auto"/>
        <w:jc w:val="center"/>
        <w:rPr>
          <w:rFonts w:ascii="Times New Roman" w:cs="Times New Roman" w:eastAsia="Times New Roman" w:hAnsi="Times New Roman"/>
          <w:b w:val="1"/>
          <w:bCs w:val="1"/>
          <w:sz w:val="66"/>
          <w:szCs w:val="66"/>
        </w:rPr>
      </w:pPr>
      <w:bookmarkStart w:colFirst="0" w:colLast="0" w:name="_vitf2m6zg4fi" w:id="3"/>
      <w:bookmarkEnd w:id="3"/>
      <w:r w:rsidDel="00000000" w:rsidR="00000000" w:rsidRPr="00000000">
        <w:rPr>
          <w:rFonts w:ascii="Times New Roman" w:cs="Times New Roman" w:eastAsia="Times New Roman" w:hAnsi="Times New Roman"/>
          <w:b w:val="1"/>
          <w:bCs w:val="1"/>
          <w:sz w:val="66"/>
          <w:szCs w:val="66"/>
          <w:rtl w:val="0"/>
        </w:rPr>
        <w:t xml:space="preserve">Uncovering Query Difficulty in TPC-H: A Runtime and Structural Characterization of the 22 Benchmark Queries</w:t>
      </w:r>
    </w:p>
    <w:p w:rsidR="00000000" w:rsidDel="00000000" w:rsidP="00000000" w:rsidRDefault="00000000" w:rsidRPr="00000000" w14:paraId="00000005">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widowControl w:val="1"/>
        <w:spacing w:after="20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widowControl w:val="1"/>
        <w:spacing w:after="20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Bhavitha Sanikommu &amp; Kobe Richards</w:t>
      </w:r>
    </w:p>
    <w:p w:rsidR="00000000" w:rsidDel="00000000" w:rsidP="00000000" w:rsidRDefault="00000000" w:rsidRPr="00000000" w14:paraId="0000000E">
      <w:pPr>
        <w:keepNext w:val="0"/>
        <w:keepLines w:val="0"/>
        <w:widowControl w:val="1"/>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keepNext w:val="0"/>
        <w:keepLines w:val="0"/>
        <w:widowControl w:val="1"/>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Next w:val="0"/>
        <w:keepLines w:val="0"/>
        <w:widowControl w:val="1"/>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widowControl w:val="1"/>
        <w:spacing w:after="20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keepNext w:val="0"/>
        <w:keepLines w:val="0"/>
        <w:widowControl w:val="1"/>
        <w:spacing w:after="200" w:before="0" w:line="240" w:lineRule="auto"/>
        <w:rPr>
          <w:rFonts w:ascii="Times New Roman" w:cs="Times New Roman" w:eastAsia="Times New Roman" w:hAnsi="Times New Roman"/>
          <w:sz w:val="28"/>
          <w:szCs w:val="28"/>
        </w:rPr>
      </w:pPr>
      <w:r w:rsidDel="00000000" w:rsidR="00000000" w:rsidRPr="00000000">
        <w:rPr>
          <w:rtl w:val="0"/>
        </w:rPr>
      </w:r>
    </w:p>
    <w:sdt>
      <w:sdtPr>
        <w:id w:val="-1014494761"/>
        <w:docPartObj>
          <w:docPartGallery w:val="Table of Contents"/>
          <w:docPartUnique w:val="1"/>
        </w:docPartObj>
      </w:sdtPr>
      <w:sdtContent>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b8zivnd5abf">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_7b8zivnd5abf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hyperlink w:anchor="_qf4jnl6dbh1w">
            <w:r w:rsidDel="00000000" w:rsidR="00000000" w:rsidRPr="00000000">
              <w:rPr>
                <w:b w:val="1"/>
                <w:bCs w:val="1"/>
                <w:color w:val="000000"/>
                <w:u w:val="none"/>
                <w:rtl w:val="0"/>
              </w:rPr>
              <w:t xml:space="preserve">Background</w:t>
              <w:tab/>
            </w:r>
          </w:hyperlink>
          <w:r w:rsidDel="00000000" w:rsidR="00000000" w:rsidRPr="00000000">
            <w:fldChar w:fldCharType="begin"/>
            <w:instrText xml:space="preserve"> PAGEREF _qf4jnl6dbh1w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iq2jg4ucssd9">
            <w:r w:rsidDel="00000000" w:rsidR="00000000" w:rsidRPr="00000000">
              <w:rPr>
                <w:b w:val="1"/>
                <w:bCs w:val="1"/>
                <w:color w:val="000000"/>
                <w:u w:val="none"/>
                <w:rtl w:val="0"/>
              </w:rPr>
              <w:t xml:space="preserve">Related Work</w:t>
              <w:tab/>
            </w:r>
          </w:hyperlink>
          <w:r w:rsidDel="00000000" w:rsidR="00000000" w:rsidRPr="00000000">
            <w:fldChar w:fldCharType="begin"/>
            <w:instrText xml:space="preserve"> PAGEREF _iq2jg4ucssd9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720" w:firstLine="0"/>
            <w:rPr>
              <w:color w:val="000000"/>
              <w:u w:val="none"/>
            </w:rPr>
          </w:pPr>
          <w:hyperlink w:anchor="_f85hlwtaja8w">
            <w:r w:rsidDel="00000000" w:rsidR="00000000" w:rsidRPr="00000000">
              <w:rPr>
                <w:color w:val="000000"/>
                <w:u w:val="none"/>
                <w:rtl w:val="0"/>
              </w:rPr>
              <w:t xml:space="preserve">TPC-H Choke Points and Query Difficulty</w:t>
              <w:tab/>
            </w:r>
          </w:hyperlink>
          <w:r w:rsidDel="00000000" w:rsidR="00000000" w:rsidRPr="00000000">
            <w:fldChar w:fldCharType="begin"/>
            <w:instrText xml:space="preserve"> PAGEREF _f85hlwtaja8w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720" w:firstLine="0"/>
            <w:rPr>
              <w:color w:val="000000"/>
              <w:u w:val="none"/>
            </w:rPr>
          </w:pPr>
          <w:hyperlink w:anchor="_v3pjzci4hnaz">
            <w:r w:rsidDel="00000000" w:rsidR="00000000" w:rsidRPr="00000000">
              <w:rPr>
                <w:color w:val="000000"/>
                <w:u w:val="none"/>
                <w:rtl w:val="0"/>
              </w:rPr>
              <w:t xml:space="preserve">Benchmark Extensions: Temporal Data and Skew</w:t>
              <w:tab/>
            </w:r>
          </w:hyperlink>
          <w:r w:rsidDel="00000000" w:rsidR="00000000" w:rsidRPr="00000000">
            <w:fldChar w:fldCharType="begin"/>
            <w:instrText xml:space="preserve"> PAGEREF _v3pjzci4hnaz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u2zma1lcirw3">
            <w:r w:rsidDel="00000000" w:rsidR="00000000" w:rsidRPr="00000000">
              <w:rPr>
                <w:color w:val="000000"/>
                <w:u w:val="none"/>
                <w:rtl w:val="0"/>
              </w:rPr>
              <w:t xml:space="preserve">Reducing Benchmarking Time and Query Subsetting</w:t>
              <w:tab/>
            </w:r>
          </w:hyperlink>
          <w:r w:rsidDel="00000000" w:rsidR="00000000" w:rsidRPr="00000000">
            <w:fldChar w:fldCharType="begin"/>
            <w:instrText xml:space="preserve"> PAGEREF _u2zma1lcirw3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n8vcn6hq8nl">
            <w:r w:rsidDel="00000000" w:rsidR="00000000" w:rsidRPr="00000000">
              <w:rPr>
                <w:b w:val="1"/>
                <w:bCs w:val="1"/>
                <w:color w:val="000000"/>
                <w:u w:val="none"/>
                <w:rtl w:val="0"/>
              </w:rPr>
              <w:t xml:space="preserve">Methods</w:t>
              <w:tab/>
            </w:r>
          </w:hyperlink>
          <w:r w:rsidDel="00000000" w:rsidR="00000000" w:rsidRPr="00000000">
            <w:fldChar w:fldCharType="begin"/>
            <w:instrText xml:space="preserve"> PAGEREF _n8vcn6hq8nl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720" w:firstLine="0"/>
            <w:rPr>
              <w:color w:val="000000"/>
              <w:u w:val="none"/>
            </w:rPr>
          </w:pPr>
          <w:hyperlink w:anchor="_m9v0huwb9yvr">
            <w:r w:rsidDel="00000000" w:rsidR="00000000" w:rsidRPr="00000000">
              <w:rPr>
                <w:color w:val="000000"/>
                <w:u w:val="none"/>
                <w:rtl w:val="0"/>
              </w:rPr>
              <w:t xml:space="preserve">Experimental Setup</w:t>
              <w:tab/>
            </w:r>
          </w:hyperlink>
          <w:r w:rsidDel="00000000" w:rsidR="00000000" w:rsidRPr="00000000">
            <w:fldChar w:fldCharType="begin"/>
            <w:instrText xml:space="preserve"> PAGEREF _m9v0huwb9yvr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720" w:firstLine="0"/>
            <w:rPr>
              <w:color w:val="000000"/>
              <w:u w:val="none"/>
            </w:rPr>
          </w:pPr>
          <w:hyperlink w:anchor="_inrt1wuuf34">
            <w:r w:rsidDel="00000000" w:rsidR="00000000" w:rsidRPr="00000000">
              <w:rPr>
                <w:color w:val="000000"/>
                <w:u w:val="none"/>
                <w:rtl w:val="0"/>
              </w:rPr>
              <w:t xml:space="preserve">Query Optimization and Rewriting</w:t>
              <w:tab/>
            </w:r>
          </w:hyperlink>
          <w:r w:rsidDel="00000000" w:rsidR="00000000" w:rsidRPr="00000000">
            <w:fldChar w:fldCharType="begin"/>
            <w:instrText xml:space="preserve"> PAGEREF _inrt1wuuf34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48yobc76uonz">
            <w:r w:rsidDel="00000000" w:rsidR="00000000" w:rsidRPr="00000000">
              <w:rPr>
                <w:color w:val="000000"/>
                <w:u w:val="none"/>
                <w:rtl w:val="0"/>
              </w:rPr>
              <w:t xml:space="preserve">Query Categorization Methodology</w:t>
              <w:tab/>
            </w:r>
          </w:hyperlink>
          <w:r w:rsidDel="00000000" w:rsidR="00000000" w:rsidRPr="00000000">
            <w:fldChar w:fldCharType="begin"/>
            <w:instrText xml:space="preserve"> PAGEREF _48yobc76uonz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color w:val="000000"/>
              <w:u w:val="none"/>
            </w:rPr>
          </w:pPr>
          <w:hyperlink w:anchor="_d70715c45k7m">
            <w:r w:rsidDel="00000000" w:rsidR="00000000" w:rsidRPr="00000000">
              <w:rPr>
                <w:b w:val="1"/>
                <w:bCs w:val="1"/>
                <w:color w:val="000000"/>
                <w:u w:val="none"/>
                <w:rtl w:val="0"/>
              </w:rPr>
              <w:t xml:space="preserve">Results</w:t>
              <w:tab/>
            </w:r>
          </w:hyperlink>
          <w:r w:rsidDel="00000000" w:rsidR="00000000" w:rsidRPr="00000000">
            <w:fldChar w:fldCharType="begin"/>
            <w:instrText xml:space="preserve"> PAGEREF _d70715c45k7m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color w:val="000000"/>
              <w:u w:val="none"/>
            </w:rPr>
          </w:pPr>
          <w:hyperlink w:anchor="_xc72yamriapj">
            <w:r w:rsidDel="00000000" w:rsidR="00000000" w:rsidRPr="00000000">
              <w:rPr>
                <w:color w:val="000000"/>
                <w:u w:val="none"/>
                <w:rtl w:val="0"/>
              </w:rPr>
              <w:t xml:space="preserve">Query Runtime Analysis</w:t>
              <w:tab/>
            </w:r>
          </w:hyperlink>
          <w:r w:rsidDel="00000000" w:rsidR="00000000" w:rsidRPr="00000000">
            <w:fldChar w:fldCharType="begin"/>
            <w:instrText xml:space="preserve"> PAGEREF _xc72yamriapj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720" w:firstLine="0"/>
            <w:rPr>
              <w:color w:val="000000"/>
              <w:u w:val="none"/>
            </w:rPr>
          </w:pPr>
          <w:hyperlink w:anchor="_qo2t7fccka">
            <w:r w:rsidDel="00000000" w:rsidR="00000000" w:rsidRPr="00000000">
              <w:rPr>
                <w:color w:val="000000"/>
                <w:u w:val="none"/>
                <w:rtl w:val="0"/>
              </w:rPr>
              <w:t xml:space="preserve">Structural Classification of the 22 Queries</w:t>
              <w:tab/>
            </w:r>
          </w:hyperlink>
          <w:r w:rsidDel="00000000" w:rsidR="00000000" w:rsidRPr="00000000">
            <w:fldChar w:fldCharType="begin"/>
            <w:instrText xml:space="preserve"> PAGEREF _qo2t7fccka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720" w:firstLine="0"/>
            <w:rPr>
              <w:color w:val="000000"/>
              <w:u w:val="none"/>
            </w:rPr>
          </w:pPr>
          <w:hyperlink w:anchor="_ujoh9onj94r5">
            <w:r w:rsidDel="00000000" w:rsidR="00000000" w:rsidRPr="00000000">
              <w:rPr>
                <w:color w:val="000000"/>
                <w:u w:val="none"/>
                <w:rtl w:val="0"/>
              </w:rPr>
              <w:t xml:space="preserve">Choke Point Interpretation</w:t>
              <w:tab/>
            </w:r>
          </w:hyperlink>
          <w:r w:rsidDel="00000000" w:rsidR="00000000" w:rsidRPr="00000000">
            <w:fldChar w:fldCharType="begin"/>
            <w:instrText xml:space="preserve"> PAGEREF _ujoh9onj94r5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3gkhqgfpjfmh">
            <w:r w:rsidDel="00000000" w:rsidR="00000000" w:rsidRPr="00000000">
              <w:rPr>
                <w:color w:val="000000"/>
                <w:u w:val="none"/>
                <w:rtl w:val="0"/>
              </w:rPr>
              <w:t xml:space="preserve">Choke Point 1: Correlated Subqueries</w:t>
              <w:tab/>
            </w:r>
          </w:hyperlink>
          <w:r w:rsidDel="00000000" w:rsidR="00000000" w:rsidRPr="00000000">
            <w:fldChar w:fldCharType="begin"/>
            <w:instrText xml:space="preserve"> PAGEREF _3gkhqgfpjfmh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720" w:firstLine="0"/>
            <w:rPr>
              <w:color w:val="000000"/>
              <w:u w:val="none"/>
            </w:rPr>
          </w:pPr>
          <w:hyperlink w:anchor="_e1c65cm2p7yz">
            <w:r w:rsidDel="00000000" w:rsidR="00000000" w:rsidRPr="00000000">
              <w:rPr>
                <w:color w:val="000000"/>
                <w:u w:val="none"/>
                <w:rtl w:val="0"/>
              </w:rPr>
              <w:t xml:space="preserve">Choke Point 2: Join Order Selection</w:t>
              <w:tab/>
            </w:r>
          </w:hyperlink>
          <w:r w:rsidDel="00000000" w:rsidR="00000000" w:rsidRPr="00000000">
            <w:fldChar w:fldCharType="begin"/>
            <w:instrText xml:space="preserve"> PAGEREF _e1c65cm2p7yz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720" w:firstLine="0"/>
            <w:rPr>
              <w:color w:val="000000"/>
              <w:u w:val="none"/>
            </w:rPr>
          </w:pPr>
          <w:hyperlink w:anchor="_1fqmeub3hsmc">
            <w:r w:rsidDel="00000000" w:rsidR="00000000" w:rsidRPr="00000000">
              <w:rPr>
                <w:color w:val="000000"/>
                <w:u w:val="none"/>
                <w:rtl w:val="0"/>
              </w:rPr>
              <w:t xml:space="preserve">Choke Point 3: Aggregation Pipeline Efficiency</w:t>
              <w:tab/>
            </w:r>
          </w:hyperlink>
          <w:r w:rsidDel="00000000" w:rsidR="00000000" w:rsidRPr="00000000">
            <w:fldChar w:fldCharType="begin"/>
            <w:instrText xml:space="preserve"> PAGEREF _1fqmeub3hsmc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rPr>
              <w:b w:val="1"/>
              <w:bCs w:val="1"/>
              <w:color w:val="000000"/>
              <w:u w:val="none"/>
            </w:rPr>
          </w:pPr>
          <w:hyperlink w:anchor="_8hlh3rpawih6">
            <w:r w:rsidDel="00000000" w:rsidR="00000000" w:rsidRPr="00000000">
              <w:rPr>
                <w:b w:val="1"/>
                <w:bCs w:val="1"/>
                <w:color w:val="000000"/>
                <w:u w:val="none"/>
                <w:rtl w:val="0"/>
              </w:rPr>
              <w:t xml:space="preserve">Discussion</w:t>
              <w:tab/>
            </w:r>
          </w:hyperlink>
          <w:r w:rsidDel="00000000" w:rsidR="00000000" w:rsidRPr="00000000">
            <w:fldChar w:fldCharType="begin"/>
            <w:instrText xml:space="preserve"> PAGEREF _8hlh3rpawih6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b w:val="1"/>
              <w:bCs w:val="1"/>
              <w:color w:val="000000"/>
              <w:u w:val="none"/>
            </w:rPr>
          </w:pPr>
          <w:hyperlink w:anchor="_iq4t8pmk5z3t">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_iq4t8pmk5z3t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b w:val="1"/>
              <w:bCs w:val="1"/>
              <w:color w:val="000000"/>
              <w:u w:val="none"/>
            </w:rPr>
          </w:pPr>
          <w:hyperlink w:anchor="_u01xsdq3k4cc">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_u01xsdq3k4cc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hzov0hatkdrs" w:id="4"/>
      <w:bookmarkEnd w:id="4"/>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7b8zivnd5abf" w:id="5"/>
      <w:bookmarkEnd w:id="5"/>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3E">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Evaluating the performance of database management systems (DBMSs) depends heavily on well-designed benchmarks. These benchmarks give researchers and practitioners a common way to understand how different systems behave, where they excel, and where they fall short. For decades, the Transaction Processing Performance Council (TPC) has shaped this area by publishing a family of standardized workloads that reflect practical business scenarios. Benchmarks such as TPC-C, TPC-E, TPC-H, and TPC-DS are routinely used to compare systems across both academic studies and commercial environments because they provide consistent rules and realistic processing demands. Among these benchmarks, TPC-H has held a particularly important role as a representative workload for decision-support systems and analytical processing.</w:t>
      </w:r>
    </w:p>
    <w:p w:rsidR="00000000" w:rsidDel="00000000" w:rsidP="00000000" w:rsidRDefault="00000000" w:rsidRPr="00000000" w14:paraId="0000003F">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Although newer benchmarks like TPC-DS offer more elaborate schemas and larger sets of queries, TPC-H remains popular for performance studies. Its schema is easier to work with, and the benchmark still captures many of the operations that make analytical queries challenging. The workload includes 22 SQL queries that cover a wide range of computation styles, extensive joins, correlated subqueries, grouping and aggregation, selective predicates, and various string and date operations. Because of these characteristics, TPC-H continues to reveal weaknesses in query optimizers and execution engines, especially in areas such as join planning, cardinality estimation, and handling large intermediate results.</w:t>
      </w:r>
    </w:p>
    <w:p w:rsidR="00000000" w:rsidDel="00000000" w:rsidP="00000000" w:rsidRDefault="00000000" w:rsidRPr="00000000" w14:paraId="00000040">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goal of this project is to analyze all 22 queries in depth, focusing on both their performance behavior and their structural properties. Rather than only timing each query, we also pay attention to which ones repeatedly turn out to be outliers, either unusually fast or noticeably slow, and we study the parts of their logic that seem to drive those differences. As we worked through the queries, we compared our observations to well-known problem areas identified in earlier studies of TPC-H, such as the choke points that often trip up optimizers. Bringing these pieces together allowed us to see how the shape of a query influences the work the database must do. This approach gives us a clearer sense of how TPC-H workloads place pressure on a DBMS and what they reveal about the system’s behavior, strengths, and limitations.</w:t>
      </w:r>
    </w:p>
    <w:p w:rsidR="00000000" w:rsidDel="00000000" w:rsidP="00000000" w:rsidRDefault="00000000" w:rsidRPr="00000000" w14:paraId="00000041">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pStyle w:val="Heading2"/>
        <w:keepNext w:val="0"/>
        <w:keepLines w:val="0"/>
        <w:widowControl w:val="1"/>
        <w:spacing w:after="200" w:before="0" w:line="240" w:lineRule="auto"/>
        <w:rPr>
          <w:rFonts w:ascii="Times New Roman" w:cs="Times New Roman" w:eastAsia="Times New Roman" w:hAnsi="Times New Roman"/>
          <w:sz w:val="18"/>
          <w:szCs w:val="18"/>
        </w:rPr>
      </w:pPr>
      <w:bookmarkStart w:colFirst="0" w:colLast="0" w:name="_qf4jnl6dbh1w" w:id="6"/>
      <w:bookmarkEnd w:id="6"/>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tl w:val="0"/>
        </w:rPr>
      </w:r>
    </w:p>
    <w:p w:rsidR="00000000" w:rsidDel="00000000" w:rsidP="00000000" w:rsidRDefault="00000000" w:rsidRPr="00000000" w14:paraId="00000043">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TPC-H represents a decision-support scenario centered around a large-scale product supplier, and its design is built around eight core tables and a collection of twenty-two SQL queries. Each query corresponds to a question a business analyst might ask, ranging from identifying reliable suppliers to examining long-term pricing behavior. The schema covers a familiar set of entities, customers, orders, suppliers, parts, and several region-related tables, arranged in a normalized structure that supports complex analytical operations. The dataset itself is produced with the TPC dbgen generator, which allows researchers to scale the database from a single gigabyte to many terabytes by adjusting a single parameter. Query templates are produced using qgen, which injects different parameter values into the query text so that each run resembles the variability of real-world ad hoc workloads.</w:t>
      </w:r>
    </w:p>
    <w:p w:rsidR="00000000" w:rsidDel="00000000" w:rsidP="00000000" w:rsidRDefault="00000000" w:rsidRPr="00000000" w14:paraId="00000044">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TPC Benchmark Roadmap emphasizes that the organization’s decision-support benchmarks must encourage fair comparisons across systems by focusing on repeatability, realism, and representativeness. For this reason, the benchmark models scenarios in which large amounts of historical data must be processed through multi-step relational operations </w:t>
      </w: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One of the core rules that separates TPC-H from earlier decision-support workloads is that it does not permit pre-built summary tables or other materialized structures. As a result, systems must compute everything directly from the base tables, which better reflects how many businesses operate when summary results are either unavailable or too expensive to maintain </w:t>
      </w: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5">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Barata et al. examines how TPC-H fits among other well-known analytical benchmarks such as TPC-DS and the Star Schema Benchmark. Their analysis shows that TPC-H remains widely used even as newer benchmarks have emerged, largely because it is easier to set up and its schema is far less elaborate </w:t>
      </w: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 TPC-DS, for instance, includes a large constellation schema and nearly one hundred queries covering everything from reporting-style workloads to iterative OLAP and data-mining tasks </w:t>
      </w: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 By contrast, TPC-H relies on a more compact schema but includes a smaller number of queries that are often computationally heavy. Taken together, the simplicity of the schema and the complexity of the queries make TPC-H a useful environment for studying how a database system actually plans and executes analytical workloads. Researchers often turn to it when they want to observe how an optimizer chooses join orders, which operators it prefers under different circumstances, or how well it handles memory-intensive operations. Because these aspects vary widely between systems, TPC-H provides a convenient way to highlight those differences in a controlled setting.</w:t>
      </w:r>
    </w:p>
    <w:p w:rsidR="00000000" w:rsidDel="00000000" w:rsidP="00000000" w:rsidRDefault="00000000" w:rsidRPr="00000000" w14:paraId="00000046">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general, the TPC-H workload focuses far more on computation than on tasks like data loading or transactional behavior. Many of the queries in the suite place significant pressure on the execution engine. Some of them link together long sequences of joins that pull data from large fact tables, while others force the system to aggregate huge numbers of rows before it can produce a result. A few rely on correlated subqueries or deeply nested conditions, both of which can become very expensive unless the optimizer manages to reorganize them into more efficient plans. Q1, for example, involves extensive grouping and sorting operations; Q9 brings together several tables along with selective predicates; and Q17 and Q20 rely on correlated subqueries whose performance changes dramatically depending on where and how predicates are applied. These patterns expose inefficiencies in both row-store and column-store engines, especially in areas such as memory locality, the handling of large intermediate results, and operator selection. As noted by Boncz et al., many of these patterns were intentionally included to push database systems toward solving the next generation of optimization problems </w:t>
      </w:r>
      <w:r w:rsidDel="00000000" w:rsidR="00000000" w:rsidRPr="00000000">
        <w:rPr>
          <w:rFonts w:ascii="Times New Roman" w:cs="Times New Roman" w:eastAsia="Times New Roman" w:hAnsi="Times New Roman"/>
          <w:sz w:val="18"/>
          <w:szCs w:val="18"/>
          <w:vertAlign w:val="superscript"/>
          <w:rtl w:val="0"/>
        </w:rPr>
        <w:t xml:space="preserve">[3]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7">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pStyle w:val="Heading2"/>
        <w:keepNext w:val="0"/>
        <w:keepLines w:val="0"/>
        <w:widowControl w:val="1"/>
        <w:spacing w:after="200" w:before="0" w:line="240" w:lineRule="auto"/>
        <w:rPr>
          <w:rFonts w:ascii="Times New Roman" w:cs="Times New Roman" w:eastAsia="Times New Roman" w:hAnsi="Times New Roman"/>
          <w:sz w:val="18"/>
          <w:szCs w:val="18"/>
        </w:rPr>
      </w:pPr>
      <w:bookmarkStart w:colFirst="0" w:colLast="0" w:name="_iq2jg4ucssd9" w:id="7"/>
      <w:bookmarkEnd w:id="7"/>
      <w:r w:rsidDel="00000000" w:rsidR="00000000" w:rsidRPr="00000000">
        <w:rPr>
          <w:rFonts w:ascii="Times New Roman" w:cs="Times New Roman" w:eastAsia="Times New Roman" w:hAnsi="Times New Roman"/>
          <w:b w:val="1"/>
          <w:bCs w:val="1"/>
          <w:rtl w:val="0"/>
        </w:rPr>
        <w:t xml:space="preserve">Related Work</w:t>
      </w:r>
      <w:r w:rsidDel="00000000" w:rsidR="00000000" w:rsidRPr="00000000">
        <w:rPr>
          <w:rtl w:val="0"/>
        </w:rPr>
      </w:r>
    </w:p>
    <w:p w:rsidR="00000000" w:rsidDel="00000000" w:rsidP="00000000" w:rsidRDefault="00000000" w:rsidRPr="00000000" w14:paraId="00000049">
      <w:pPr>
        <w:pStyle w:val="Heading4"/>
        <w:keepNext w:val="0"/>
        <w:keepLines w:val="0"/>
        <w:widowControl w:val="1"/>
        <w:spacing w:after="200" w:before="0" w:line="240" w:lineRule="auto"/>
        <w:rPr>
          <w:rFonts w:ascii="Times New Roman" w:cs="Times New Roman" w:eastAsia="Times New Roman" w:hAnsi="Times New Roman"/>
          <w:sz w:val="18"/>
          <w:szCs w:val="18"/>
        </w:rPr>
      </w:pPr>
      <w:bookmarkStart w:colFirst="0" w:colLast="0" w:name="_f85hlwtaja8w" w:id="8"/>
      <w:bookmarkEnd w:id="8"/>
      <w:r w:rsidDel="00000000" w:rsidR="00000000" w:rsidRPr="00000000">
        <w:rPr>
          <w:rFonts w:ascii="Times New Roman" w:cs="Times New Roman" w:eastAsia="Times New Roman" w:hAnsi="Times New Roman"/>
          <w:rtl w:val="0"/>
        </w:rPr>
        <w:t xml:space="preserve">TPC-H Choke Points and Query Difficulty</w:t>
      </w:r>
      <w:r w:rsidDel="00000000" w:rsidR="00000000" w:rsidRPr="00000000">
        <w:rPr>
          <w:rtl w:val="0"/>
        </w:rPr>
      </w:r>
    </w:p>
    <w:p w:rsidR="00000000" w:rsidDel="00000000" w:rsidP="00000000" w:rsidRDefault="00000000" w:rsidRPr="00000000" w14:paraId="0000004A">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substantial amount of work has examined TPC-H from different angles, and these earlier studies help clarify why the benchmark continues to be used so widely. One of the most detailed investigations is the analysis by Boncz, Neumann, and Erling, where the authors walk through the benchmark query by query and point out twenty-eight different patterns that tend to cause trouble for database systems. They refer to these problem areas as “choke points.” Many of them revolve around familiar sources of difficulty: figuring out the right join order, predicting join selectivity, handling long chains of joins, dealing with expensive string operations, or managing correlated subqueries that can easily lead to inefficient nested-loop plans. Other issues stem from the amount of data the queries force the system to process, especially when grouping or sorting large intermediate results. What their study makes clear is that these challenges were not accidental. The benchmark was designed to include them so that systems would be tested on parts of query processing that often reveal real-world weaknesses. Their discussion of queries such as Q2, Q9, Q17, and Q21 illustrates how these choke points show up in practice, since each of those queries triggers more than one of these difficult situations </w:t>
      </w:r>
      <w:r w:rsidDel="00000000" w:rsidR="00000000" w:rsidRPr="00000000">
        <w:rPr>
          <w:rFonts w:ascii="Times New Roman" w:cs="Times New Roman" w:eastAsia="Times New Roman" w:hAnsi="Times New Roman"/>
          <w:sz w:val="18"/>
          <w:szCs w:val="18"/>
          <w:vertAlign w:val="superscript"/>
          <w:rtl w:val="0"/>
        </w:rPr>
        <w:t xml:space="preserve">[3]</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B">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Dreseler et al. expand on this earlier work by taking a closer look at how much each choke point actually affects performance when running on a modern in-memory columnar engine. Instead of treating the choke points as a purely conceptual list, they measure how the system behaves when particular optimizations are enabled or disabled. Their experiments show that some optimizations have a dramatic effect. Flattening correlated subqueries, for instance, can speed up several TPC-H queries, including Q2, Q17, and Q21, by more than a factor of five. Similarly, moving predicates earlier in the plan can cut down the size of intermediate results and lead to performance gains of roughly four times for certain queries. They also note that a few choke points arise from aspects of TPC-H's synthetic data rather than from typical production workloads. IN-list filtering and certain column correlations, for example, behave differently on TPC-H data than they would on a real business dataset. Even so, their findings support the broader point that TPC-H places significant stress on both the optimizer and the execution engine. The queries force the system to demonstrate strong plan-generation capabilities and efficient operator implementations, and when either of these components falls short, performance rapidly degrades </w:t>
      </w:r>
      <w:r w:rsidDel="00000000" w:rsidR="00000000" w:rsidRPr="00000000">
        <w:rPr>
          <w:rFonts w:ascii="Times New Roman" w:cs="Times New Roman" w:eastAsia="Times New Roman" w:hAnsi="Times New Roman"/>
          <w:sz w:val="18"/>
          <w:szCs w:val="18"/>
          <w:vertAlign w:val="superscript"/>
          <w:rtl w:val="0"/>
        </w:rPr>
        <w:t xml:space="preserve">[4]</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C">
      <w:pPr>
        <w:pStyle w:val="Heading4"/>
        <w:keepNext w:val="0"/>
        <w:keepLines w:val="0"/>
        <w:widowControl w:val="1"/>
        <w:spacing w:after="200" w:before="0" w:line="240" w:lineRule="auto"/>
        <w:rPr>
          <w:rFonts w:ascii="Times New Roman" w:cs="Times New Roman" w:eastAsia="Times New Roman" w:hAnsi="Times New Roman"/>
          <w:sz w:val="18"/>
          <w:szCs w:val="18"/>
        </w:rPr>
      </w:pPr>
      <w:bookmarkStart w:colFirst="0" w:colLast="0" w:name="_v3pjzci4hnaz" w:id="9"/>
      <w:bookmarkEnd w:id="9"/>
      <w:r w:rsidDel="00000000" w:rsidR="00000000" w:rsidRPr="00000000">
        <w:rPr>
          <w:rFonts w:ascii="Times New Roman" w:cs="Times New Roman" w:eastAsia="Times New Roman" w:hAnsi="Times New Roman"/>
          <w:rtl w:val="0"/>
        </w:rPr>
        <w:t xml:space="preserve">Benchmark Extensions: Temporal Data and Skew</w:t>
      </w:r>
      <w:r w:rsidDel="00000000" w:rsidR="00000000" w:rsidRPr="00000000">
        <w:rPr>
          <w:rtl w:val="0"/>
        </w:rPr>
      </w:r>
    </w:p>
    <w:p w:rsidR="00000000" w:rsidDel="00000000" w:rsidP="00000000" w:rsidRDefault="00000000" w:rsidRPr="00000000" w14:paraId="0000004D">
      <w:pPr>
        <w:keepNext w:val="0"/>
        <w:keepLines w:val="0"/>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Some studies have tried to push TPC-H in directions that make it resemble real analytical workloads more closely. One example is the work by Al-Kateb and his co-authors, who experimented with adding time-related fields to the schema. Instead of treating each row as if it were valid forever, they added information about when a record was true and when it changed. After doing this, they rewrote several of the benchmark queries to make use of these temporal attributes. What they found was that the behavior of the queries changed quite a bit. In particular, queries such as Q9, Q17, and Q20 slowed down once temporal conditions were added. This was mostly because the extra time dimension altered the join predicates and made the planning phase more complicated. Their argument is that adding temporal data makes the benchmark a better match for the kinds of historical analysis companies carry out in practice, where the timing of events often matters just as much as the events themselves </w:t>
      </w:r>
      <w:r w:rsidDel="00000000" w:rsidR="00000000" w:rsidRPr="00000000">
        <w:rPr>
          <w:rFonts w:ascii="Times New Roman" w:cs="Times New Roman" w:eastAsia="Times New Roman" w:hAnsi="Times New Roman"/>
          <w:sz w:val="18"/>
          <w:szCs w:val="18"/>
          <w:vertAlign w:val="superscript"/>
          <w:rtl w:val="0"/>
        </w:rPr>
        <w:t xml:space="preserve">[5]</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E">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Another line of work focuses on a different weakness in TPC-H: the fact that its data is almost perfectly uniform. Crolotte and Ghazal point out that this assumption rarely holds in real datasets, where certain customers, suppliers, or products tend to dominate. They investigated what happens when the benchmark is modified so that some values occur far more often than others. Their approach involved creating several alternative versions of the dataset, including distributions based on real population data and others that were intentionally skewed. Through their experiments, they showed that introducing skew can change how the optimizer behaves, occasionally even causing a query to use a completely different plan. In parallel systems, the imbalance created by skew can also lead to uneven work distribution, which affects runtime. Their main point is that adding skew exposes sensitivities that the standard benchmark hides, and doing so provides a clearer view of how a DBMS handles realistic, imperfect data </w:t>
      </w:r>
      <w:r w:rsidDel="00000000" w:rsidR="00000000" w:rsidRPr="00000000">
        <w:rPr>
          <w:rFonts w:ascii="Times New Roman" w:cs="Times New Roman" w:eastAsia="Times New Roman" w:hAnsi="Times New Roman"/>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F">
      <w:pPr>
        <w:keepNext w:val="0"/>
        <w:keepLines w:val="0"/>
        <w:widowControl w:val="1"/>
        <w:spacing w:after="200" w:before="0"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pStyle w:val="Heading4"/>
        <w:keepNext w:val="0"/>
        <w:keepLines w:val="0"/>
        <w:widowControl w:val="1"/>
        <w:spacing w:after="200" w:before="0" w:line="240" w:lineRule="auto"/>
        <w:rPr>
          <w:rFonts w:ascii="Times New Roman" w:cs="Times New Roman" w:eastAsia="Times New Roman" w:hAnsi="Times New Roman"/>
          <w:sz w:val="18"/>
          <w:szCs w:val="18"/>
        </w:rPr>
      </w:pPr>
      <w:bookmarkStart w:colFirst="0" w:colLast="0" w:name="_u2zma1lcirw3" w:id="10"/>
      <w:bookmarkEnd w:id="10"/>
      <w:r w:rsidDel="00000000" w:rsidR="00000000" w:rsidRPr="00000000">
        <w:rPr>
          <w:rFonts w:ascii="Times New Roman" w:cs="Times New Roman" w:eastAsia="Times New Roman" w:hAnsi="Times New Roman"/>
          <w:rtl w:val="0"/>
        </w:rPr>
        <w:t xml:space="preserve">Reducing Benchmarking Time and Query Subsetting</w:t>
      </w:r>
      <w:r w:rsidDel="00000000" w:rsidR="00000000" w:rsidRPr="00000000">
        <w:rPr>
          <w:rtl w:val="0"/>
        </w:rPr>
      </w:r>
    </w:p>
    <w:p w:rsidR="00000000" w:rsidDel="00000000" w:rsidP="00000000" w:rsidRDefault="00000000" w:rsidRPr="00000000" w14:paraId="00000052">
      <w:pPr>
        <w:keepNext w:val="0"/>
        <w:keepLines w:val="0"/>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Finally, a separate line of research investigates ways to reduce TPC-H’s benchmarking time without sacrificing representativeness. Vandierendonck and Trancoso demonstrate that a reduced subset of only six TPC-H queries can approximate the performance characteristics of the full benchmark, capturing key patterns in operator usage, intermediate result generation, and system ranking </w:t>
      </w:r>
      <w:r w:rsidDel="00000000" w:rsidR="00000000" w:rsidRPr="00000000">
        <w:rPr>
          <w:rFonts w:ascii="Times New Roman" w:cs="Times New Roman" w:eastAsia="Times New Roman" w:hAnsi="Times New Roman"/>
          <w:sz w:val="18"/>
          <w:szCs w:val="18"/>
          <w:vertAlign w:val="superscript"/>
          <w:rtl w:val="0"/>
        </w:rPr>
        <w:t xml:space="preserve">[6]</w:t>
      </w:r>
      <w:r w:rsidDel="00000000" w:rsidR="00000000" w:rsidRPr="00000000">
        <w:rPr>
          <w:rFonts w:ascii="Times New Roman" w:cs="Times New Roman" w:eastAsia="Times New Roman" w:hAnsi="Times New Roman"/>
          <w:sz w:val="18"/>
          <w:szCs w:val="18"/>
          <w:rtl w:val="0"/>
        </w:rPr>
        <w:t xml:space="preserve">. Trancoso et al. extend this idea using principal component analysis to identify minimal query subsets capable of predicting system behavior with more than 80% accuracy compared to the full suite </w:t>
      </w:r>
      <w:r w:rsidDel="00000000" w:rsidR="00000000" w:rsidRPr="00000000">
        <w:rPr>
          <w:rFonts w:ascii="Times New Roman" w:cs="Times New Roman" w:eastAsia="Times New Roman" w:hAnsi="Times New Roman"/>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These studies reveal redundancies among TPC-H queries and highlight structural similarities that can be exploited to accelerate benchmarking. They also motivate analytical techniques such as operator fingerprinting and structural clustering, approaches complementary to our project’s goal of classifying TPC-H queries based on structural and performance-related characteristics.</w:t>
      </w:r>
    </w:p>
    <w:p w:rsidR="00000000" w:rsidDel="00000000" w:rsidP="00000000" w:rsidRDefault="00000000" w:rsidRPr="00000000" w14:paraId="00000053">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Collectively, this body of related work establishes TPC-H as both a practical benchmark for system evaluation and a research artifact that exposes deep, system-level challenges. These studies motivate our focus on analyzing TPC-H from the perspective of runtime performance, structural classification, and choke-point-driven interpretations, ensuring that our contributions align with and extend the existing literature on benchmark analysis.</w:t>
      </w:r>
    </w:p>
    <w:p w:rsidR="00000000" w:rsidDel="00000000" w:rsidP="00000000" w:rsidRDefault="00000000" w:rsidRPr="00000000" w14:paraId="00000054">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n8vcn6hq8nl" w:id="11"/>
      <w:bookmarkEnd w:id="11"/>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56">
      <w:pPr>
        <w:pStyle w:val="Heading4"/>
        <w:keepNext w:val="0"/>
        <w:keepLines w:val="0"/>
        <w:widowControl w:val="1"/>
        <w:spacing w:after="200" w:before="0" w:line="240" w:lineRule="auto"/>
        <w:rPr>
          <w:rFonts w:ascii="Times New Roman" w:cs="Times New Roman" w:eastAsia="Times New Roman" w:hAnsi="Times New Roman"/>
        </w:rPr>
      </w:pPr>
      <w:bookmarkStart w:colFirst="0" w:colLast="0" w:name="_m9v0huwb9yvr" w:id="12"/>
      <w:bookmarkEnd w:id="12"/>
      <w:r w:rsidDel="00000000" w:rsidR="00000000" w:rsidRPr="00000000">
        <w:rPr>
          <w:rFonts w:ascii="Times New Roman" w:cs="Times New Roman" w:eastAsia="Times New Roman" w:hAnsi="Times New Roman"/>
          <w:rtl w:val="0"/>
        </w:rPr>
        <w:t xml:space="preserve">Experimental Setup</w:t>
      </w:r>
    </w:p>
    <w:p w:rsidR="00000000" w:rsidDel="00000000" w:rsidP="00000000" w:rsidRDefault="00000000" w:rsidRPr="00000000" w14:paraId="00000057">
      <w:pPr>
        <w:keepNext w:val="0"/>
        <w:keepLines w:val="0"/>
        <w:widowControl w:val="1"/>
        <w:spacing w:after="20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Our experimental approach focused on measuring the real-world performance characteristics of the TPC-H benchmark queries in SQLite, a widely-used embedded database system. We chose SQLite for its accessibility, straightforward execution model, and lack of sophisticated query optimization, which allowed us to observe the raw cost of different query structures without the interference of advanced rewrite rules or adaptive execution strategies that more complex systems might apply.</w:t>
      </w:r>
      <w:r w:rsidDel="00000000" w:rsidR="00000000" w:rsidRPr="00000000">
        <w:rPr>
          <w:rtl w:val="0"/>
        </w:rPr>
      </w:r>
    </w:p>
    <w:p w:rsidR="00000000" w:rsidDel="00000000" w:rsidP="00000000" w:rsidRDefault="00000000" w:rsidRPr="00000000" w14:paraId="00000058">
      <w:pPr>
        <w:keepNext w:val="0"/>
        <w:keepLines w:val="0"/>
        <w:widowControl w:val="1"/>
        <w:spacing w:after="20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 used a pre-populated TPC-H database (tpch.db) at scale factor 1 (SF1). This database contains approximately 1GB of raw data across eight tables: LINEITEM (6 million rows), ORDERS (1.5 million rows), CUSTOMER (150,000 rows), PART (200,000 rows), PARTSUPP (800,000 rows), SUPPLIER (10,000 rows), NATION (25 rows), and REGION (5 rows). The database was implemented in SQLite version 3.x with primary key constraints enabled and no additional indexes beyond those required by the TPC-H schema specification.</w:t>
      </w:r>
      <w:r w:rsidDel="00000000" w:rsidR="00000000" w:rsidRPr="00000000">
        <w:rPr>
          <w:rtl w:val="0"/>
        </w:rPr>
      </w:r>
    </w:p>
    <w:p w:rsidR="00000000" w:rsidDel="00000000" w:rsidP="00000000" w:rsidRDefault="00000000" w:rsidRPr="00000000" w14:paraId="00000059">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of the twenty-two TPC-H queries was executed in SQLite using the command-line interface with the ".timer on" utility, which reports both CPU time and wall-clock time. To ensure consistent measurements, we ran each query three times and recorded the median execution time to account for any variance due to disk caching, operating system scheduling, or background processes. The database file was stored on a solid-state drive to minimize I/O bottlenecks.</w:t>
      </w:r>
    </w:p>
    <w:p w:rsidR="00000000" w:rsidDel="00000000" w:rsidP="00000000" w:rsidRDefault="00000000" w:rsidRPr="00000000" w14:paraId="0000005A">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each set of measurements, we cleared the operating system's page cache to ensure that timing reflected cold-start performance rather than warm-cache scenarios. This decision was deliberate: while production database systems benefit from warm caches, our goal was to understand the intrinsic cost of each query structure when the database must read data from disk.</w:t>
      </w:r>
    </w:p>
    <w:p w:rsidR="00000000" w:rsidDel="00000000" w:rsidP="00000000" w:rsidRDefault="00000000" w:rsidRPr="00000000" w14:paraId="0000005B">
      <w:pPr>
        <w:pStyle w:val="Heading4"/>
        <w:keepNext w:val="0"/>
        <w:keepLines w:val="0"/>
        <w:widowControl w:val="1"/>
        <w:spacing w:after="200" w:before="0" w:line="240" w:lineRule="auto"/>
        <w:rPr>
          <w:rFonts w:ascii="Times New Roman" w:cs="Times New Roman" w:eastAsia="Times New Roman" w:hAnsi="Times New Roman"/>
        </w:rPr>
      </w:pPr>
      <w:bookmarkStart w:colFirst="0" w:colLast="0" w:name="_inrt1wuuf34" w:id="13"/>
      <w:bookmarkEnd w:id="13"/>
      <w:r w:rsidDel="00000000" w:rsidR="00000000" w:rsidRPr="00000000">
        <w:rPr>
          <w:rFonts w:ascii="Times New Roman" w:cs="Times New Roman" w:eastAsia="Times New Roman" w:hAnsi="Times New Roman"/>
          <w:rtl w:val="0"/>
        </w:rPr>
        <w:t xml:space="preserve">Query Optimization and Rewriting</w:t>
      </w:r>
    </w:p>
    <w:p w:rsidR="00000000" w:rsidDel="00000000" w:rsidP="00000000" w:rsidRDefault="00000000" w:rsidRPr="00000000" w14:paraId="0000005C">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three slowest queries (Q17, Q20, Q22), we conducted a secondary analysis to understand how much of their runtime stemmed from structural inefficiencies versus the inherent cost of the data operations. We manually rewrote these queries to eliminate correlated subqueries, using techniques such as:</w:t>
      </w:r>
    </w:p>
    <w:p w:rsidR="00000000" w:rsidDel="00000000" w:rsidP="00000000" w:rsidRDefault="00000000" w:rsidRPr="00000000" w14:paraId="0000005D">
      <w:pPr>
        <w:keepNext w:val="0"/>
        <w:keepLines w:val="0"/>
        <w:widowControl w:val="1"/>
        <w:numPr>
          <w:ilvl w:val="0"/>
          <w:numId w:val="1"/>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Precomputing aggregate values in Common Table Expressions (CTEs)</w:t>
      </w:r>
    </w:p>
    <w:p w:rsidR="00000000" w:rsidDel="00000000" w:rsidP="00000000" w:rsidRDefault="00000000" w:rsidRPr="00000000" w14:paraId="0000005E">
      <w:pPr>
        <w:keepNext w:val="0"/>
        <w:keepLines w:val="0"/>
        <w:widowControl w:val="1"/>
        <w:numPr>
          <w:ilvl w:val="0"/>
          <w:numId w:val="1"/>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Flattening nested subqueries into explicit joins</w:t>
      </w:r>
    </w:p>
    <w:p w:rsidR="00000000" w:rsidDel="00000000" w:rsidP="00000000" w:rsidRDefault="00000000" w:rsidRPr="00000000" w14:paraId="0000005F">
      <w:pPr>
        <w:keepNext w:val="0"/>
        <w:keepLines w:val="0"/>
        <w:widowControl w:val="1"/>
        <w:numPr>
          <w:ilvl w:val="0"/>
          <w:numId w:val="1"/>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Materializing intermediate results to avoid repeated calculations</w:t>
      </w:r>
    </w:p>
    <w:p w:rsidR="00000000" w:rsidDel="00000000" w:rsidP="00000000" w:rsidRDefault="00000000" w:rsidRPr="00000000" w14:paraId="00000060">
      <w:pPr>
        <w:keepNext w:val="0"/>
        <w:keepLines w:val="0"/>
        <w:widowControl w:val="1"/>
        <w:numPr>
          <w:ilvl w:val="0"/>
          <w:numId w:val="1"/>
        </w:numPr>
        <w:spacing w:after="20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Reorganizing filter predicates to reduce the working set size</w:t>
      </w:r>
    </w:p>
    <w:p w:rsidR="00000000" w:rsidDel="00000000" w:rsidP="00000000" w:rsidRDefault="00000000" w:rsidRPr="00000000" w14:paraId="00000061">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optimized query was verified for correctness by comparing its result set against the original query's output. We then measured the execution time of the rewritten version using the same methodology as the baseline measurements.</w:t>
      </w:r>
    </w:p>
    <w:p w:rsidR="00000000" w:rsidDel="00000000" w:rsidP="00000000" w:rsidRDefault="00000000" w:rsidRPr="00000000" w14:paraId="00000062">
      <w:pPr>
        <w:keepNext w:val="0"/>
        <w:keepLines w:val="0"/>
        <w:widowControl w:val="1"/>
        <w:spacing w:after="200" w:before="0"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pStyle w:val="Heading4"/>
        <w:keepNext w:val="0"/>
        <w:keepLines w:val="0"/>
        <w:widowControl w:val="1"/>
        <w:spacing w:after="200" w:before="0" w:line="240" w:lineRule="auto"/>
        <w:rPr>
          <w:rFonts w:ascii="Times New Roman" w:cs="Times New Roman" w:eastAsia="Times New Roman" w:hAnsi="Times New Roman"/>
        </w:rPr>
      </w:pPr>
      <w:bookmarkStart w:colFirst="0" w:colLast="0" w:name="_48yobc76uonz" w:id="14"/>
      <w:bookmarkEnd w:id="14"/>
      <w:r w:rsidDel="00000000" w:rsidR="00000000" w:rsidRPr="00000000">
        <w:rPr>
          <w:rFonts w:ascii="Times New Roman" w:cs="Times New Roman" w:eastAsia="Times New Roman" w:hAnsi="Times New Roman"/>
          <w:rtl w:val="0"/>
        </w:rPr>
        <w:t xml:space="preserve">Query Categorization Methodology</w:t>
      </w:r>
    </w:p>
    <w:p w:rsidR="00000000" w:rsidDel="00000000" w:rsidP="00000000" w:rsidRDefault="00000000" w:rsidRPr="00000000" w14:paraId="00000065">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collecting runtime data, we performed a structural analysis of each query's SQL text. Rather than relying solely on abstract metrics like the number of joins or aggregations, we examined the execution plans produced by SQLite's EXPLAIN QUERY PLAN command and identified the dominant operation that contributed most to each query's runtime. This approach allowed us to classify queries based on their actual behavior rather than their syntactic features alone.</w:t>
      </w:r>
    </w:p>
    <w:p w:rsidR="00000000" w:rsidDel="00000000" w:rsidP="00000000" w:rsidRDefault="00000000" w:rsidRPr="00000000" w14:paraId="00000066">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d70715c45k7m" w:id="15"/>
      <w:bookmarkEnd w:id="15"/>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68">
      <w:pPr>
        <w:pStyle w:val="Heading4"/>
        <w:keepNext w:val="0"/>
        <w:keepLines w:val="0"/>
        <w:widowControl w:val="1"/>
        <w:spacing w:after="200" w:before="0" w:line="240" w:lineRule="auto"/>
        <w:rPr>
          <w:rFonts w:ascii="Times New Roman" w:cs="Times New Roman" w:eastAsia="Times New Roman" w:hAnsi="Times New Roman"/>
        </w:rPr>
      </w:pPr>
      <w:bookmarkStart w:colFirst="0" w:colLast="0" w:name="_xc72yamriapj" w:id="16"/>
      <w:bookmarkEnd w:id="16"/>
      <w:r w:rsidDel="00000000" w:rsidR="00000000" w:rsidRPr="00000000">
        <w:rPr>
          <w:rFonts w:ascii="Times New Roman" w:cs="Times New Roman" w:eastAsia="Times New Roman" w:hAnsi="Times New Roman"/>
          <w:rtl w:val="0"/>
        </w:rPr>
        <w:t xml:space="preserve">Query Runtime Analysis</w:t>
      </w:r>
    </w:p>
    <w:p w:rsidR="00000000" w:rsidDel="00000000" w:rsidP="00000000" w:rsidRDefault="00000000" w:rsidRPr="00000000" w14:paraId="00000069">
      <w:pPr>
        <w:keepNext w:val="0"/>
        <w:keepLines w:val="0"/>
        <w:widowControl w:val="1"/>
        <w:spacing w:after="20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To understand how each of the twenty-two TPC-H queries behaves in practice, we began by running all queries in SQLite and recording their execution times using the “.timer” utility. As you can see in </w:t>
      </w:r>
      <w:r w:rsidDel="00000000" w:rsidR="00000000" w:rsidRPr="00000000">
        <w:rPr>
          <w:rFonts w:ascii="Times New Roman" w:cs="Times New Roman" w:eastAsia="Times New Roman" w:hAnsi="Times New Roman"/>
          <w:i w:val="1"/>
          <w:iCs w:val="1"/>
          <w:sz w:val="18"/>
          <w:szCs w:val="18"/>
          <w:rtl w:val="0"/>
        </w:rPr>
        <w:t xml:space="preserve">Figure 1</w:t>
      </w:r>
      <w:r w:rsidDel="00000000" w:rsidR="00000000" w:rsidRPr="00000000">
        <w:rPr>
          <w:rFonts w:ascii="Times New Roman" w:cs="Times New Roman" w:eastAsia="Times New Roman" w:hAnsi="Times New Roman"/>
          <w:sz w:val="18"/>
          <w:szCs w:val="18"/>
          <w:rtl w:val="0"/>
        </w:rPr>
        <w:t xml:space="preserve"> below, t</w:t>
      </w:r>
      <w:r w:rsidDel="00000000" w:rsidR="00000000" w:rsidRPr="00000000">
        <w:rPr>
          <w:rFonts w:ascii="Times New Roman" w:cs="Times New Roman" w:eastAsia="Times New Roman" w:hAnsi="Times New Roman"/>
          <w:sz w:val="18"/>
          <w:szCs w:val="18"/>
          <w:rtl w:val="0"/>
        </w:rPr>
        <w:t xml:space="preserve">he runtimes varied widely, ranging from well under a second to several thousand seconds in the most extreme cases.</w:t>
      </w:r>
    </w:p>
    <w:p w:rsidR="00000000" w:rsidDel="00000000" w:rsidP="00000000" w:rsidRDefault="00000000" w:rsidRPr="00000000" w14:paraId="0000006A">
      <w:pPr>
        <w:keepNext w:val="0"/>
        <w:keepLines w:val="0"/>
        <w:widowControl w:val="1"/>
        <w:spacing w:after="0" w:before="0"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9558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i w:val="1"/>
          <w:iCs w:val="1"/>
          <w:sz w:val="12"/>
          <w:szCs w:val="12"/>
          <w:rtl w:val="0"/>
        </w:rPr>
        <w:t xml:space="preserve">Figure 1: </w:t>
      </w:r>
      <w:r w:rsidDel="00000000" w:rsidR="00000000" w:rsidRPr="00000000">
        <w:rPr>
          <w:rFonts w:ascii="Times New Roman" w:cs="Times New Roman" w:eastAsia="Times New Roman" w:hAnsi="Times New Roman"/>
          <w:i w:val="1"/>
          <w:iCs w:val="1"/>
          <w:sz w:val="12"/>
          <w:szCs w:val="12"/>
          <w:rtl w:val="0"/>
        </w:rPr>
        <w:t xml:space="preserve">Runtimes for all TPC-H queries, shown in numerical order (left) and sorted from fastest to slowest (right). Both plots use a log-scale y-axis to highlight the wide spread in execution times and the sharp separation between typical queries and the slowest outliers.</w:t>
      </w:r>
      <w:r w:rsidDel="00000000" w:rsidR="00000000" w:rsidRPr="00000000">
        <w:rPr>
          <w:rtl w:val="0"/>
        </w:rPr>
      </w:r>
    </w:p>
    <w:p w:rsidR="00000000" w:rsidDel="00000000" w:rsidP="00000000" w:rsidRDefault="00000000" w:rsidRPr="00000000" w14:paraId="0000006C">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 number of the simpler queries, such as Q4, Q6, Q11, Q12, Q14, and Q15, finished almost immediately. These tend to rely on a single table scan with basic filtering and little or no grouping, so the results were not surprising. Queries that include a moderate number of joins or grouping operations fell into the middle of the runtime range. Examples here include Q2, Q3, Q5, Q7, Q8, Q9, Q13, Q16, Q18, and Q21. Their runtimes reflect both the broader join structure and the amount of data that must be shuffled or aggregated.</w:t>
      </w:r>
    </w:p>
    <w:p w:rsidR="00000000" w:rsidDel="00000000" w:rsidP="00000000" w:rsidRDefault="00000000" w:rsidRPr="00000000" w14:paraId="0000006D">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 much smaller set of queries stood out as substantial outliers. Q10 was the first noticeably slow query, taking a few minutes to complete. The truly extreme cases were Q17, Q20, and Q22, each of which contains at least one correlated subquery and, in SQLite’s execution model, ends up being evaluated in a row-by-row fashion. Without any optimization, Q17 finishes in a little over 2300 seconds, Q22 takes roughly 2400 seconds, and Q20 runs for more than two hours. The pattern across these long-running queries is consistent: whenever the database engine repeatedly performs the same computation inside a nested loop, the performance collapses.</w:t>
      </w:r>
    </w:p>
    <w:p w:rsidR="00000000" w:rsidDel="00000000" w:rsidP="00000000" w:rsidRDefault="00000000" w:rsidRPr="00000000" w14:paraId="0000006E">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To better understand how much of the slowdown came from query structure rather than the data itself, we rewrote Q17, Q20, and Q22 using precomputed intermediate results, flattened subqueries, and simplified filtering conditions. Even modest rewrites produced dramatic speedups. For example, Q17 dropped from more than half an hour to around thirty-seven seconds once the correlated average was computed ahead of time. The optimized version of Q20 saw a similar drop, falling from roughly two hours and twenty minutes to about thirty-seven seconds after eliminating nested sum calculations and tightening the filters. Q22 produced the most striking difference: by computing the necessary averages only once and reorganizing the grouping logic, the runtime fell from more than forty minutes to well under a second. These three examples made clear that the original execution times were dominated by structural inefficiencies rather than the underlying cost of scanning or joining the tables.</w:t>
      </w:r>
    </w:p>
    <w:p w:rsidR="00000000" w:rsidDel="00000000" w:rsidP="00000000" w:rsidRDefault="00000000" w:rsidRPr="00000000" w14:paraId="0000006F">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keepNext w:val="0"/>
        <w:keepLines w:val="0"/>
        <w:widowControl w:val="1"/>
        <w:spacing w:after="200" w:before="0" w:line="240" w:lineRule="auto"/>
        <w:rPr>
          <w:rFonts w:ascii="Times New Roman" w:cs="Times New Roman" w:eastAsia="Times New Roman" w:hAnsi="Times New Roman"/>
          <w:sz w:val="18"/>
          <w:szCs w:val="18"/>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1">
            <w:pPr>
              <w:keepNext w:val="0"/>
              <w:keepLines w:val="0"/>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Query</w:t>
            </w:r>
          </w:p>
        </w:tc>
        <w:tc>
          <w:tcPr/>
          <w:p w:rsidR="00000000" w:rsidDel="00000000" w:rsidP="00000000" w:rsidRDefault="00000000" w:rsidRPr="00000000" w14:paraId="00000072">
            <w:pPr>
              <w:keepNext w:val="0"/>
              <w:keepLines w:val="0"/>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Original Runtime (sec)</w:t>
            </w:r>
          </w:p>
        </w:tc>
        <w:tc>
          <w:tcPr/>
          <w:p w:rsidR="00000000" w:rsidDel="00000000" w:rsidP="00000000" w:rsidRDefault="00000000" w:rsidRPr="00000000" w14:paraId="00000073">
            <w:pPr>
              <w:keepNext w:val="0"/>
              <w:keepLines w:val="0"/>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Optimized Runtime (sec)</w:t>
            </w:r>
          </w:p>
        </w:tc>
        <w:tc>
          <w:tcPr/>
          <w:p w:rsidR="00000000" w:rsidDel="00000000" w:rsidP="00000000" w:rsidRDefault="00000000" w:rsidRPr="00000000" w14:paraId="00000074">
            <w:pPr>
              <w:keepNext w:val="0"/>
              <w:keepLines w:val="0"/>
              <w:widowControl w:val="0"/>
              <w:spacing w:after="0" w:before="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Speedup</w:t>
            </w:r>
          </w:p>
        </w:tc>
      </w:tr>
      <w:tr>
        <w:trPr>
          <w:cantSplit w:val="0"/>
          <w:tblHeader w:val="0"/>
        </w:trPr>
        <w:tc>
          <w:tcPr/>
          <w:p w:rsidR="00000000" w:rsidDel="00000000" w:rsidP="00000000" w:rsidRDefault="00000000" w:rsidRPr="00000000" w14:paraId="00000075">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Q17</w:t>
            </w:r>
          </w:p>
        </w:tc>
        <w:tc>
          <w:tcPr/>
          <w:p w:rsidR="00000000" w:rsidDel="00000000" w:rsidP="00000000" w:rsidRDefault="00000000" w:rsidRPr="00000000" w14:paraId="00000076">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2334</w:t>
            </w:r>
          </w:p>
        </w:tc>
        <w:tc>
          <w:tcPr/>
          <w:p w:rsidR="00000000" w:rsidDel="00000000" w:rsidP="00000000" w:rsidRDefault="00000000" w:rsidRPr="00000000" w14:paraId="00000077">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36.8</w:t>
            </w:r>
          </w:p>
        </w:tc>
        <w:tc>
          <w:tcPr/>
          <w:p w:rsidR="00000000" w:rsidDel="00000000" w:rsidP="00000000" w:rsidRDefault="00000000" w:rsidRPr="00000000" w14:paraId="00000078">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62.5x</w:t>
            </w:r>
          </w:p>
        </w:tc>
      </w:tr>
      <w:tr>
        <w:trPr>
          <w:cantSplit w:val="0"/>
          <w:tblHeader w:val="0"/>
        </w:trPr>
        <w:tc>
          <w:tcPr/>
          <w:p w:rsidR="00000000" w:rsidDel="00000000" w:rsidP="00000000" w:rsidRDefault="00000000" w:rsidRPr="00000000" w14:paraId="00000079">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Q20</w:t>
            </w:r>
          </w:p>
        </w:tc>
        <w:tc>
          <w:tcPr/>
          <w:p w:rsidR="00000000" w:rsidDel="00000000" w:rsidP="00000000" w:rsidRDefault="00000000" w:rsidRPr="00000000" w14:paraId="0000007A">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8304</w:t>
            </w:r>
          </w:p>
        </w:tc>
        <w:tc>
          <w:tcPr/>
          <w:p w:rsidR="00000000" w:rsidDel="00000000" w:rsidP="00000000" w:rsidRDefault="00000000" w:rsidRPr="00000000" w14:paraId="0000007B">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36.9</w:t>
            </w:r>
          </w:p>
        </w:tc>
        <w:tc>
          <w:tcPr/>
          <w:p w:rsidR="00000000" w:rsidDel="00000000" w:rsidP="00000000" w:rsidRDefault="00000000" w:rsidRPr="00000000" w14:paraId="0000007C">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232x</w:t>
            </w:r>
          </w:p>
        </w:tc>
      </w:tr>
      <w:tr>
        <w:trPr>
          <w:cantSplit w:val="0"/>
          <w:tblHeader w:val="0"/>
        </w:trPr>
        <w:tc>
          <w:tcPr/>
          <w:p w:rsidR="00000000" w:rsidDel="00000000" w:rsidP="00000000" w:rsidRDefault="00000000" w:rsidRPr="00000000" w14:paraId="0000007D">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Q22</w:t>
            </w:r>
          </w:p>
        </w:tc>
        <w:tc>
          <w:tcPr/>
          <w:p w:rsidR="00000000" w:rsidDel="00000000" w:rsidP="00000000" w:rsidRDefault="00000000" w:rsidRPr="00000000" w14:paraId="0000007E">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2413</w:t>
            </w:r>
          </w:p>
        </w:tc>
        <w:tc>
          <w:tcPr/>
          <w:p w:rsidR="00000000" w:rsidDel="00000000" w:rsidP="00000000" w:rsidRDefault="00000000" w:rsidRPr="00000000" w14:paraId="0000007F">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0.19</w:t>
            </w:r>
          </w:p>
        </w:tc>
        <w:tc>
          <w:tcPr/>
          <w:p w:rsidR="00000000" w:rsidDel="00000000" w:rsidP="00000000" w:rsidRDefault="00000000" w:rsidRPr="00000000" w14:paraId="00000080">
            <w:pPr>
              <w:keepNext w:val="0"/>
              <w:keepLines w:val="0"/>
              <w:widowControl w:val="0"/>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12632x</w:t>
            </w:r>
          </w:p>
        </w:tc>
      </w:tr>
    </w:tbl>
    <w:p w:rsidR="00000000" w:rsidDel="00000000" w:rsidP="00000000" w:rsidRDefault="00000000" w:rsidRPr="00000000" w14:paraId="00000081">
      <w:pPr>
        <w:spacing w:after="200" w:line="240" w:lineRule="auto"/>
        <w:jc w:val="center"/>
        <w:rPr>
          <w:rFonts w:ascii="Times New Roman" w:cs="Times New Roman" w:eastAsia="Times New Roman" w:hAnsi="Times New Roman"/>
          <w:i w:val="1"/>
          <w:iCs w:val="1"/>
          <w:sz w:val="12"/>
          <w:szCs w:val="12"/>
        </w:rPr>
      </w:pPr>
      <w:r w:rsidDel="00000000" w:rsidR="00000000" w:rsidRPr="00000000">
        <w:rPr>
          <w:rFonts w:ascii="Times New Roman" w:cs="Times New Roman" w:eastAsia="Times New Roman" w:hAnsi="Times New Roman"/>
          <w:b w:val="1"/>
          <w:bCs w:val="1"/>
          <w:i w:val="1"/>
          <w:iCs w:val="1"/>
          <w:sz w:val="12"/>
          <w:szCs w:val="12"/>
          <w:rtl w:val="0"/>
        </w:rPr>
        <w:t xml:space="preserve">Table 1:</w:t>
      </w:r>
      <w:r w:rsidDel="00000000" w:rsidR="00000000" w:rsidRPr="00000000">
        <w:rPr>
          <w:rFonts w:ascii="Times New Roman" w:cs="Times New Roman" w:eastAsia="Times New Roman" w:hAnsi="Times New Roman"/>
          <w:i w:val="1"/>
          <w:iCs w:val="1"/>
          <w:sz w:val="12"/>
          <w:szCs w:val="12"/>
          <w:rtl w:val="0"/>
        </w:rPr>
        <w:t xml:space="preserve"> Original versus optimized runtimes of the three slowest queries, showing the impact of subquery flattening and restructuring on execution time</w:t>
      </w:r>
    </w:p>
    <w:p w:rsidR="00000000" w:rsidDel="00000000" w:rsidP="00000000" w:rsidRDefault="00000000" w:rsidRPr="00000000" w14:paraId="00000082">
      <w:pPr>
        <w:keepNext w:val="0"/>
        <w:keepLines w:val="0"/>
        <w:spacing w:after="200" w:before="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pStyle w:val="Heading4"/>
        <w:keepNext w:val="0"/>
        <w:keepLines w:val="0"/>
        <w:widowControl w:val="1"/>
        <w:spacing w:after="200" w:before="0" w:line="240" w:lineRule="auto"/>
        <w:rPr>
          <w:rFonts w:ascii="Times New Roman" w:cs="Times New Roman" w:eastAsia="Times New Roman" w:hAnsi="Times New Roman"/>
        </w:rPr>
      </w:pPr>
      <w:bookmarkStart w:colFirst="0" w:colLast="0" w:name="_qo2t7fccka" w:id="17"/>
      <w:bookmarkEnd w:id="17"/>
      <w:r w:rsidDel="00000000" w:rsidR="00000000" w:rsidRPr="00000000">
        <w:rPr>
          <w:rFonts w:ascii="Times New Roman" w:cs="Times New Roman" w:eastAsia="Times New Roman" w:hAnsi="Times New Roman"/>
          <w:rtl w:val="0"/>
        </w:rPr>
        <w:t xml:space="preserve">Structural Classification of the 22 Queries</w:t>
      </w:r>
    </w:p>
    <w:p w:rsidR="00000000" w:rsidDel="00000000" w:rsidP="00000000" w:rsidRDefault="00000000" w:rsidRPr="00000000" w14:paraId="00000084">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Once the runtime measurements were complete, we went back through the SQL text of each query to see whether the slower or faster behaviors lined up with any consistent structural patterns. To keep the analysis clean, we grouped the twenty-two queries into a set of distinguishable categories, where each one reflects a main operation that drives the cost of the queries rather than every feature that they may contain.</w:t>
      </w:r>
    </w:p>
    <w:p w:rsidR="00000000" w:rsidDel="00000000" w:rsidP="00000000" w:rsidRDefault="00000000" w:rsidRPr="00000000" w14:paraId="00000085">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The first group consists of join-centric queries, where the main cost comes from joining several tables together. These are the queries that pull in data from many parts of the schema and assemble it into a combined view. They usually involve selective predicates, but the dominant work still comes from the join itself. Queries Q2, Q3, Q5, Q7, Q8, Q9, Q10, Q16, Q18, and Q21 fall into this group. Their runtimes mostly land in the middle of the range, which makes sense because the joins are wide enough to be expensive but not pathological.</w:t>
      </w:r>
    </w:p>
    <w:p w:rsidR="00000000" w:rsidDel="00000000" w:rsidP="00000000" w:rsidRDefault="00000000" w:rsidRPr="00000000" w14:paraId="00000086">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 second category covers the aggregation-heavy queries, where the bulk of the runtime comes from grouping, counting, summing, or sorting large amounts of data. These queries may have a simple join or none at all, but the grouping operation towers over the rest of the work. The queries that best fit this description are Q1, Q14, and Q19. They operate over millions of rows and spend much of their time building hash tables or performing sort-based grouping.</w:t>
      </w:r>
    </w:p>
    <w:p w:rsidR="00000000" w:rsidDel="00000000" w:rsidP="00000000" w:rsidRDefault="00000000" w:rsidRPr="00000000" w14:paraId="00000087">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The third group contains the selection-focused queries, which perform little more than scanning and filtering. They do not join multiple tables, and they rarely perform complicated expressions. Because their structure is so simple, they all finished quickly in the experiments. This category includes Q4, Q6, Q11, and Q12.</w:t>
      </w:r>
    </w:p>
    <w:p w:rsidR="00000000" w:rsidDel="00000000" w:rsidP="00000000" w:rsidRDefault="00000000" w:rsidRPr="00000000" w14:paraId="00000088">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The fourth category is for queries built around nested logic, especially correlated subqueries. What sets these apart from the join-heavy group is not the number of tables but the repeated evaluation of a subquery that depends on values from an outer query. These queries tend to balloon in cost when executed in a system that doesn’t automatically flatten subqueries into joins. This cluster includes Q17, Q20, and Q22, which were by far the slowest of the set. Their structure essentially forces SQLite to recompute large pieces of work many times over.</w:t>
      </w:r>
    </w:p>
    <w:p w:rsidR="00000000" w:rsidDel="00000000" w:rsidP="00000000" w:rsidRDefault="00000000" w:rsidRPr="00000000" w14:paraId="00000089">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A fifth category covers the conditional-logic queries, where a large portion of the work comes from CASE expressions or complicated filter conditions rather than joins or grouping. These queries sit somewhere in between the simple scans and the join-heavy group and tend to have moderate runtime. In this project, Q13 and Q15 best fit this behavior.</w:t>
      </w:r>
    </w:p>
    <w:p w:rsidR="00000000" w:rsidDel="00000000" w:rsidP="00000000" w:rsidRDefault="00000000" w:rsidRPr="00000000" w14:paraId="0000008A">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The final category includes what we’re calling distribution-analysis queries. These queries build histograms or frequency tables, often using intermediate filters, but do not rely on large aggregation steps or correlated subqueries. They tend to run longer than simple scan queries but don’t fall into the heavy-join or nested-query category. The clearest examples are Q7 and Q22, but since Q22 already belongs in the nested-query group, only Q7 is assigned here.</w:t>
      </w:r>
    </w:p>
    <w:p w:rsidR="00000000" w:rsidDel="00000000" w:rsidP="00000000" w:rsidRDefault="00000000" w:rsidRPr="00000000" w14:paraId="0000008B">
      <w:pPr>
        <w:keepNext w:val="0"/>
        <w:keepLines w:val="0"/>
        <w:widowControl w:val="1"/>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Putting everything together, each of the twenty-two queries fits neatly into one of these categories. The breakdown reflects how SQLite seems to treat different SQL structures and provides a clearer view of why some queries ran in seconds while others took hours.</w:t>
      </w:r>
    </w:p>
    <w:p w:rsidR="00000000" w:rsidDel="00000000" w:rsidP="00000000" w:rsidRDefault="00000000" w:rsidRPr="00000000" w14:paraId="0000008C">
      <w:pPr>
        <w:keepNext w:val="0"/>
        <w:keepLines w:val="0"/>
        <w:widowControl w:val="1"/>
        <w:spacing w:after="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491038" cy="2537309"/>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91038" cy="253730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widowControl w:val="1"/>
        <w:spacing w:after="200" w:before="0" w:line="240" w:lineRule="auto"/>
        <w:jc w:val="center"/>
        <w:rPr>
          <w:rFonts w:ascii="Times New Roman" w:cs="Times New Roman" w:eastAsia="Times New Roman" w:hAnsi="Times New Roman"/>
          <w:i w:val="1"/>
          <w:iCs w:val="1"/>
          <w:sz w:val="12"/>
          <w:szCs w:val="12"/>
        </w:rPr>
      </w:pPr>
      <w:r w:rsidDel="00000000" w:rsidR="00000000" w:rsidRPr="00000000">
        <w:rPr>
          <w:rFonts w:ascii="Times New Roman" w:cs="Times New Roman" w:eastAsia="Times New Roman" w:hAnsi="Times New Roman"/>
          <w:b w:val="1"/>
          <w:bCs w:val="1"/>
          <w:i w:val="1"/>
          <w:iCs w:val="1"/>
          <w:sz w:val="12"/>
          <w:szCs w:val="12"/>
          <w:rtl w:val="0"/>
        </w:rPr>
        <w:t xml:space="preserve">Figure 2:</w:t>
      </w:r>
      <w:r w:rsidDel="00000000" w:rsidR="00000000" w:rsidRPr="00000000">
        <w:rPr>
          <w:rFonts w:ascii="Times New Roman" w:cs="Times New Roman" w:eastAsia="Times New Roman" w:hAnsi="Times New Roman"/>
          <w:i w:val="1"/>
          <w:iCs w:val="1"/>
          <w:sz w:val="12"/>
          <w:szCs w:val="12"/>
          <w:rtl w:val="0"/>
        </w:rPr>
        <w:t xml:space="preserve"> Structural classification of the 22 TPC-H queries, grouped by dominant query type and labeled by query ID.</w:t>
      </w:r>
    </w:p>
    <w:p w:rsidR="00000000" w:rsidDel="00000000" w:rsidP="00000000" w:rsidRDefault="00000000" w:rsidRPr="00000000" w14:paraId="0000008E">
      <w:pPr>
        <w:spacing w:after="2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F">
      <w:pPr>
        <w:pStyle w:val="Heading4"/>
        <w:keepNext w:val="0"/>
        <w:keepLines w:val="0"/>
        <w:widowControl w:val="1"/>
        <w:spacing w:after="200" w:before="0" w:line="240" w:lineRule="auto"/>
        <w:rPr>
          <w:rFonts w:ascii="Times New Roman" w:cs="Times New Roman" w:eastAsia="Times New Roman" w:hAnsi="Times New Roman"/>
          <w:color w:val="666666"/>
          <w:sz w:val="18"/>
          <w:szCs w:val="18"/>
        </w:rPr>
      </w:pPr>
      <w:bookmarkStart w:colFirst="0" w:colLast="0" w:name="_ujoh9onj94r5" w:id="18"/>
      <w:bookmarkEnd w:id="18"/>
      <w:r w:rsidDel="00000000" w:rsidR="00000000" w:rsidRPr="00000000">
        <w:rPr>
          <w:rFonts w:ascii="Times New Roman" w:cs="Times New Roman" w:eastAsia="Times New Roman" w:hAnsi="Times New Roman"/>
          <w:rtl w:val="0"/>
        </w:rPr>
        <w:t xml:space="preserve">Choke Point Interpretation</w:t>
      </w:r>
      <w:r w:rsidDel="00000000" w:rsidR="00000000" w:rsidRPr="00000000">
        <w:rPr>
          <w:rtl w:val="0"/>
        </w:rPr>
      </w:r>
    </w:p>
    <w:p w:rsidR="00000000" w:rsidDel="00000000" w:rsidP="00000000" w:rsidRDefault="00000000" w:rsidRPr="00000000" w14:paraId="00000090">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experimental results reveal three distinct performance choke points in the TPC-H benchmark that expose fundamental differences in database system capabilities.</w:t>
      </w:r>
    </w:p>
    <w:p w:rsidR="00000000" w:rsidDel="00000000" w:rsidP="00000000" w:rsidRDefault="00000000" w:rsidRPr="00000000" w14:paraId="00000091">
      <w:pPr>
        <w:keepNext w:val="0"/>
        <w:keepLines w:val="0"/>
        <w:spacing w:after="20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Choke Point 1: Correlated Subqueries</w:t>
      </w:r>
    </w:p>
    <w:p w:rsidR="00000000" w:rsidDel="00000000" w:rsidP="00000000" w:rsidRDefault="00000000" w:rsidRPr="00000000" w14:paraId="00000092">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most severe bottleneck appears in queries Q17, Q20, and Q22, which contain correlated subqueries that reference values from outer query blocks. In SQLite's execution model, these queries trigger nested-loop evaluation where the subquery must be re-executed for every row in the outer relation, creating quadratic or worse runtime complexity.</w:t>
      </w:r>
      <w:r w:rsidDel="00000000" w:rsidR="00000000" w:rsidRPr="00000000">
        <w:rPr>
          <w:rFonts w:ascii="Times New Roman" w:cs="Times New Roman" w:eastAsia="Times New Roman" w:hAnsi="Times New Roman"/>
          <w:color w:val="666666"/>
          <w:sz w:val="18"/>
          <w:szCs w:val="18"/>
          <w:rtl w:val="0"/>
        </w:rPr>
        <w:t xml:space="preserve"> </w:t>
      </w: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Fonts w:ascii="Times New Roman" w:cs="Times New Roman" w:eastAsia="Times New Roman" w:hAnsi="Times New Roman"/>
          <w:sz w:val="18"/>
          <w:szCs w:val="18"/>
          <w:rtl w:val="0"/>
        </w:rPr>
        <w:t xml:space="preserve">uery 17 computes the average quantity per part and filters line items where quantity is less than 20% of that average. The original structure places this calculation inside a correlated subquery:</w:t>
      </w:r>
    </w:p>
    <w:p w:rsidR="00000000" w:rsidDel="00000000" w:rsidP="00000000" w:rsidRDefault="00000000" w:rsidRPr="00000000" w14:paraId="00000093">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128963" cy="25812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28963"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approximately 200,000 distinct parts, SQLite recomputes the average 200,000 times, once for each part. This resulted in 2,300 seconds of runtime. We solved this by materializing all averages in a single pass using a derived table, then joining the results:</w:t>
      </w:r>
    </w:p>
    <w:p w:rsidR="00000000" w:rsidDel="00000000" w:rsidP="00000000" w:rsidRDefault="00000000" w:rsidRPr="00000000" w14:paraId="00000095">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300413" cy="26098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00413"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1"/>
        <w:spacing w:after="200" w:before="0" w:line="240" w:lineRule="auto"/>
        <w:ind w:firstLine="720"/>
        <w:jc w:val="both"/>
        <w:rPr>
          <w:rFonts w:ascii="Times New Roman" w:cs="Times New Roman" w:eastAsia="Times New Roman" w:hAnsi="Times New Roman"/>
          <w:color w:val="666666"/>
          <w:sz w:val="18"/>
          <w:szCs w:val="18"/>
        </w:rPr>
      </w:pPr>
      <w:r w:rsidDel="00000000" w:rsidR="00000000" w:rsidRPr="00000000">
        <w:rPr>
          <w:rFonts w:ascii="Times New Roman" w:cs="Times New Roman" w:eastAsia="Times New Roman" w:hAnsi="Times New Roman"/>
          <w:sz w:val="18"/>
          <w:szCs w:val="18"/>
          <w:rtl w:val="0"/>
        </w:rPr>
        <w:t xml:space="preserve">By computing each part's average exactly once instead of repeatedly, runtime dropped to 36.8 seconds, showing a 62.5× speedup. The optimization transforms O(n²) complexity into O(n).</w:t>
      </w:r>
      <w:r w:rsidDel="00000000" w:rsidR="00000000" w:rsidRPr="00000000">
        <w:rPr>
          <w:rtl w:val="0"/>
        </w:rPr>
      </w:r>
    </w:p>
    <w:p w:rsidR="00000000" w:rsidDel="00000000" w:rsidP="00000000" w:rsidRDefault="00000000" w:rsidRPr="00000000" w14:paraId="00000097">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Fonts w:ascii="Times New Roman" w:cs="Times New Roman" w:eastAsia="Times New Roman" w:hAnsi="Times New Roman"/>
          <w:sz w:val="18"/>
          <w:szCs w:val="18"/>
          <w:rtl w:val="0"/>
        </w:rPr>
        <w:t xml:space="preserve">uery 20 checks supplier availability against shipment quantities using multiple nested subqueries, forcing repeated SUM calculations. The nested structure caused SQLite to recompute aggregates for each supplier-part combination. With complex filtering conditions across multiple tables, this resulted in over 2 hours of runtime (~8,400 seconds).</w:t>
      </w:r>
    </w:p>
    <w:p w:rsidR="00000000" w:rsidDel="00000000" w:rsidP="00000000" w:rsidRDefault="00000000" w:rsidRPr="00000000" w14:paraId="00000098">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667125" cy="360521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67125"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widowControl w:val="1"/>
        <w:spacing w:after="20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solved this by breaking the query into logical stages using Common Table Expressions (CTEs):</w:t>
      </w:r>
    </w:p>
    <w:p w:rsidR="00000000" w:rsidDel="00000000" w:rsidP="00000000" w:rsidRDefault="00000000" w:rsidRPr="00000000" w14:paraId="0000009A">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89592" cy="36004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89592"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widowControl w:val="1"/>
        <w:spacing w:after="200" w:before="0" w:line="240" w:lineRule="auto"/>
        <w:ind w:firstLine="720"/>
        <w:jc w:val="both"/>
        <w:rPr>
          <w:rFonts w:ascii="Times New Roman" w:cs="Times New Roman" w:eastAsia="Times New Roman" w:hAnsi="Times New Roman"/>
          <w:color w:val="666666"/>
          <w:sz w:val="18"/>
          <w:szCs w:val="18"/>
        </w:rPr>
      </w:pPr>
      <w:r w:rsidDel="00000000" w:rsidR="00000000" w:rsidRPr="00000000">
        <w:rPr>
          <w:rFonts w:ascii="Times New Roman" w:cs="Times New Roman" w:eastAsia="Times New Roman" w:hAnsi="Times New Roman"/>
          <w:sz w:val="18"/>
          <w:szCs w:val="18"/>
          <w:rtl w:val="0"/>
        </w:rPr>
        <w:t xml:space="preserve">Through this, each aggregate is computed only once and reused. Runtime dropped to 36.9 seconds, showing a 232× speedup. The CTEs force materialization, preventing SQLite from re-evaluating subqueries.</w:t>
      </w:r>
      <w:r w:rsidDel="00000000" w:rsidR="00000000" w:rsidRPr="00000000">
        <w:rPr>
          <w:rtl w:val="0"/>
        </w:rPr>
      </w:r>
    </w:p>
    <w:p w:rsidR="00000000" w:rsidDel="00000000" w:rsidP="00000000" w:rsidRDefault="00000000" w:rsidRPr="00000000" w14:paraId="0000009C">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Fonts w:ascii="Times New Roman" w:cs="Times New Roman" w:eastAsia="Times New Roman" w:hAnsi="Times New Roman"/>
          <w:sz w:val="18"/>
          <w:szCs w:val="18"/>
          <w:rtl w:val="0"/>
        </w:rPr>
        <w:t xml:space="preserve">uery 22 computes country-level statistics for customers, repeatedly calculating average account balances for filtering. The original query recalculates the average customer balance for every customer with a positive balance (~150,000 times). Each recalculation scans all 150,000 customers, resulting in 22.5 billion row comparisons and 2,400 seconds runtime.</w:t>
      </w:r>
    </w:p>
    <w:p w:rsidR="00000000" w:rsidDel="00000000" w:rsidP="00000000" w:rsidRDefault="00000000" w:rsidRPr="00000000" w14:paraId="0000009D">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167063" cy="3305175"/>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67063"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widowControl w:val="1"/>
        <w:spacing w:after="20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solved this by completely eliminating correlation by computing the base customer set once, then aggregating:</w:t>
      </w:r>
    </w:p>
    <w:p w:rsidR="00000000" w:rsidDel="00000000" w:rsidP="00000000" w:rsidRDefault="00000000" w:rsidRPr="00000000" w14:paraId="0000009F">
      <w:pPr>
        <w:keepNext w:val="0"/>
        <w:keepLines w:val="0"/>
        <w:widowControl w:val="1"/>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890713" cy="237172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907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resulted in the runtime dropping from 2,400 seconds to 0.19 seconds, a staggering 12,632× speedup. We reduced the operation from 22.5 billion row operations to just 300,000 (a 75,000× reduction in computational work).</w:t>
      </w:r>
    </w:p>
    <w:p w:rsidR="00000000" w:rsidDel="00000000" w:rsidP="00000000" w:rsidRDefault="00000000" w:rsidRPr="00000000" w14:paraId="000000A1">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three optimizations follow the same principle: compute once, use many times. The original queries violated this by embedding calculations in correlated subqueries, forcing repeated evaluation. Our rewrites used derived tables and CTEsto compute results once, join conversions to transform subqueries into explicit joins, and filter organization to move selective predicates early. This choke point tests whether a database implements subquery decorrelation, or the ability to automatically recognize and rewrite these patterns. Advanced systems like PostgreSQL and Oracle perform this automatically, while SQLite executes queries as written. The 60-12,600× performance gap makes this the most critical discriminator in the benchmark.</w:t>
      </w:r>
    </w:p>
    <w:p w:rsidR="00000000" w:rsidDel="00000000" w:rsidP="00000000" w:rsidRDefault="00000000" w:rsidRPr="00000000" w14:paraId="000000A2">
      <w:pPr>
        <w:keepNext w:val="0"/>
        <w:keepLines w:val="0"/>
        <w:spacing w:after="20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Choke Point 2: Join Order Selection</w:t>
      </w:r>
    </w:p>
    <w:p w:rsidR="00000000" w:rsidDel="00000000" w:rsidP="00000000" w:rsidRDefault="00000000" w:rsidRPr="00000000" w14:paraId="000000A3">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Queries involving 3-8 table joins (Q2, Q3, Q5, Q7, Q8, Q9, Q10, Q16, Q18, Q21) expose the quality of a system's join ordering algorithm. We observed that queries with selective filters on small tables performed significantly better than those processing large intermediate results before filtering. This accounts for roughly a 5-10× performance difference within the join-centric category. This choke point evaluates cost-based join enumeration, or the optimizer's ability to estimate costs and choose join orders that minimize intermediate result sizes.</w:t>
      </w:r>
    </w:p>
    <w:p w:rsidR="00000000" w:rsidDel="00000000" w:rsidP="00000000" w:rsidRDefault="00000000" w:rsidRPr="00000000" w14:paraId="000000A4">
      <w:pPr>
        <w:keepNext w:val="0"/>
        <w:keepLines w:val="0"/>
        <w:spacing w:after="20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Choke Point 3: Aggregation Pipeline Efficiency</w:t>
      </w:r>
    </w:p>
    <w:p w:rsidR="00000000" w:rsidDel="00000000" w:rsidP="00000000" w:rsidRDefault="00000000" w:rsidRPr="00000000" w14:paraId="000000A5">
      <w:pPr>
        <w:keepNext w:val="0"/>
        <w:keepLines w:val="0"/>
        <w:widowControl w:val="1"/>
        <w:spacing w:after="200" w:before="0" w:line="240" w:lineRule="auto"/>
        <w:ind w:firstLine="720"/>
        <w:jc w:val="both"/>
        <w:rPr>
          <w:rFonts w:ascii="Times New Roman" w:cs="Times New Roman" w:eastAsia="Times New Roman" w:hAnsi="Times New Roman"/>
          <w:color w:val="666666"/>
          <w:sz w:val="18"/>
          <w:szCs w:val="18"/>
        </w:rPr>
      </w:pPr>
      <w:r w:rsidDel="00000000" w:rsidR="00000000" w:rsidRPr="00000000">
        <w:rPr>
          <w:rFonts w:ascii="Times New Roman" w:cs="Times New Roman" w:eastAsia="Times New Roman" w:hAnsi="Times New Roman"/>
          <w:sz w:val="18"/>
          <w:szCs w:val="18"/>
          <w:rtl w:val="0"/>
        </w:rPr>
        <w:t xml:space="preserve">The aggregation-heavy queries (Q1, Q14, Q19) and selection-focused queries (Q6, Q12) test efficient processing of large aggregations and selective scans. While these </w:t>
      </w:r>
      <w:r w:rsidDel="00000000" w:rsidR="00000000" w:rsidRPr="00000000">
        <w:rPr>
          <w:rFonts w:ascii="Times New Roman" w:cs="Times New Roman" w:eastAsia="Times New Roman" w:hAnsi="Times New Roman"/>
          <w:sz w:val="18"/>
          <w:szCs w:val="18"/>
          <w:rtl w:val="0"/>
        </w:rPr>
        <w:t xml:space="preserve">queries completed</w:t>
      </w:r>
      <w:r w:rsidDel="00000000" w:rsidR="00000000" w:rsidRPr="00000000">
        <w:rPr>
          <w:rFonts w:ascii="Times New Roman" w:cs="Times New Roman" w:eastAsia="Times New Roman" w:hAnsi="Times New Roman"/>
          <w:sz w:val="18"/>
          <w:szCs w:val="18"/>
          <w:rtl w:val="0"/>
        </w:rPr>
        <w:t xml:space="preserve"> relatively quickly (under 10 seconds), they reflect differences in vectorized execution, cache-friendly layouts, and parallel processing capabilities, showing 2-10× variations between systems optimized for OLAP versus OLTP workloads.</w:t>
      </w:r>
      <w:r w:rsidDel="00000000" w:rsidR="00000000" w:rsidRPr="00000000">
        <w:rPr>
          <w:rtl w:val="0"/>
        </w:rPr>
      </w:r>
    </w:p>
    <w:p w:rsidR="00000000" w:rsidDel="00000000" w:rsidP="00000000" w:rsidRDefault="00000000" w:rsidRPr="00000000" w14:paraId="000000A6">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distribution of choke points is deliberate: a few extreme cases (Q17, Q20, Q22) expose fundamental optimizer limitations, a large middle tier tests join optimization, and several fast baseline queries establish expectations for simple operations. This ensures that the results reflect a system's full optimization stack rather than just raw scan speed.</w:t>
      </w:r>
    </w:p>
    <w:p w:rsidR="00000000" w:rsidDel="00000000" w:rsidP="00000000" w:rsidRDefault="00000000" w:rsidRPr="00000000" w14:paraId="000000A7">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8hlh3rpawih6" w:id="19"/>
      <w:bookmarkEnd w:id="19"/>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A9">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experimental results confirm a strong correlation between query structural complexity and execution time. The fastest queries completed in under 5 seconds, while the slowest required thousands of seconds, a 500× spread demonstrating that TPC-H successfully discriminates between different levels of database system sophistication.</w:t>
      </w:r>
    </w:p>
    <w:p w:rsidR="00000000" w:rsidDel="00000000" w:rsidP="00000000" w:rsidRDefault="00000000" w:rsidRPr="00000000" w14:paraId="000000AA">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the relationship is not strictly linear. Several moderately complex queries (Q1, Q19) finished quickly despite scanning large tables, while some structurally simpler queries (Q10, Q21) took longer due to join orders or intermediate result sizes. This suggests that query structure matters more than query size.</w:t>
      </w:r>
    </w:p>
    <w:p w:rsidR="00000000" w:rsidDel="00000000" w:rsidP="00000000" w:rsidRDefault="00000000" w:rsidRPr="00000000" w14:paraId="000000AB">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dramatic speedups achieved through query rewriting, 62.5× for Q17, 232× for Q20, and 12,632× for Q22, highlight the critical importance of subquery decorrelation. The Q22 result is particularly striking: a query taking 40 minutes now completes in 0.19 seconds by eliminating repeated calculations and removing correlated subqueries through CTEs. These results demonstrate that systems without automatic subquery decorrelation execute queries as written, while sophisticated systems perform these transformations automatically.</w:t>
      </w:r>
    </w:p>
    <w:p w:rsidR="00000000" w:rsidDel="00000000" w:rsidP="00000000" w:rsidRDefault="00000000" w:rsidRPr="00000000" w14:paraId="000000AC">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six-category classification successfully groups queries with similar performance characteristics, with 2-5× variations within categories and 10-100× variations across categories. The revealed choke points have direct implications: OLTP systems like SQLite appropriately focus on fast single-table scans, while OLAP systems require subquery decorrelation and join enumeration as essential capabilities.</w:t>
      </w:r>
    </w:p>
    <w:p w:rsidR="00000000" w:rsidDel="00000000" w:rsidP="00000000" w:rsidRDefault="00000000" w:rsidRPr="00000000" w14:paraId="000000AD">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iq4t8pmk5z3t" w:id="20"/>
      <w:bookmarkEnd w:id="20"/>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AF">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analysis of the TPC-H benchmark through runtime measurements, structural classification, and query rewriting reveals the critical importance of query optimization in database performance. The 500× spread in execution times, from under one second to over two hours, demonstrates that TPC-H effectively discriminates between database systems of different sophistication levels.</w:t>
      </w:r>
    </w:p>
    <w:p w:rsidR="00000000" w:rsidDel="00000000" w:rsidP="00000000" w:rsidRDefault="00000000" w:rsidRPr="00000000" w14:paraId="000000B0">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Three primary choke points emerged: correlated subquery evaluation (with optimization opportunities of 62.5× to 12,632×), join order selection (5-10× differences), and aggregation pipeline efficiency (2-10× variations). The extraordinary 12,632× speedup for Q22 highlights both the severity of the correlated subquery problem and the power of proper optimization techniques.</w:t>
      </w:r>
    </w:p>
    <w:p w:rsidR="00000000" w:rsidDel="00000000" w:rsidP="00000000" w:rsidRDefault="00000000" w:rsidRPr="00000000" w14:paraId="000000B1">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Our six-category classification successfully groups queries by dominant operations, providing a framework for understanding which optimization techniques matter most. The dramatic speedups achieved demonstrate that query structure often matters more than data volume.</w:t>
      </w:r>
    </w:p>
    <w:p w:rsidR="00000000" w:rsidDel="00000000" w:rsidP="00000000" w:rsidRDefault="00000000" w:rsidRPr="00000000" w14:paraId="000000B2">
      <w:pPr>
        <w:keepNext w:val="0"/>
        <w:keepLines w:val="0"/>
        <w:widowControl w:val="1"/>
        <w:spacing w:after="200" w:before="0" w:line="24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practitioners, the key insight is to check for correlated subqueries first when debugging slow queries. For researchers, our work suggests that future benchmarks should explicitly test optimizer sophistication separately from raw execution speed. The TPC-H benchmark remains relevant because it tests fundamental database capabilities that still vary widely across systems, and our analysis quantifies exactly why these capabilities matter.</w:t>
      </w:r>
    </w:p>
    <w:p w:rsidR="00000000" w:rsidDel="00000000" w:rsidP="00000000" w:rsidRDefault="00000000" w:rsidRPr="00000000" w14:paraId="000000B3">
      <w:pPr>
        <w:keepNext w:val="0"/>
        <w:keepLines w:val="0"/>
        <w:widowControl w:val="1"/>
        <w:spacing w:after="200" w:before="0" w:lin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pStyle w:val="Heading2"/>
        <w:keepNext w:val="0"/>
        <w:keepLines w:val="0"/>
        <w:widowControl w:val="1"/>
        <w:spacing w:after="200" w:before="0" w:line="240" w:lineRule="auto"/>
        <w:rPr>
          <w:rFonts w:ascii="Times New Roman" w:cs="Times New Roman" w:eastAsia="Times New Roman" w:hAnsi="Times New Roman"/>
          <w:b w:val="1"/>
          <w:bCs w:val="1"/>
        </w:rPr>
      </w:pPr>
      <w:bookmarkStart w:colFirst="0" w:colLast="0" w:name="_u01xsdq3k4cc" w:id="21"/>
      <w:bookmarkEnd w:id="21"/>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R. Nambiar and M. Poess, </w:t>
      </w:r>
      <w:r w:rsidDel="00000000" w:rsidR="00000000" w:rsidRPr="00000000">
        <w:rPr>
          <w:rFonts w:ascii="Times New Roman" w:cs="Times New Roman" w:eastAsia="Times New Roman" w:hAnsi="Times New Roman"/>
          <w:i w:val="1"/>
          <w:iCs w:val="1"/>
          <w:sz w:val="18"/>
          <w:szCs w:val="18"/>
          <w:rtl w:val="0"/>
        </w:rPr>
        <w:t xml:space="preserve">TPC Benchmark Roadmap</w:t>
      </w:r>
      <w:r w:rsidDel="00000000" w:rsidR="00000000" w:rsidRPr="00000000">
        <w:rPr>
          <w:rFonts w:ascii="Times New Roman" w:cs="Times New Roman" w:eastAsia="Times New Roman" w:hAnsi="Times New Roman"/>
          <w:sz w:val="18"/>
          <w:szCs w:val="18"/>
          <w:rtl w:val="0"/>
        </w:rPr>
        <w:t xml:space="preserve">. Springer, 2000. </w:t>
      </w:r>
      <w:hyperlink r:id="rId14">
        <w:r w:rsidDel="00000000" w:rsidR="00000000" w:rsidRPr="00000000">
          <w:rPr>
            <w:rFonts w:ascii="Times New Roman" w:cs="Times New Roman" w:eastAsia="Times New Roman" w:hAnsi="Times New Roman"/>
            <w:color w:val="1155cc"/>
            <w:sz w:val="18"/>
            <w:szCs w:val="18"/>
            <w:u w:val="single"/>
            <w:rtl w:val="0"/>
          </w:rPr>
          <w:t xml:space="preserve">https://link.springer.com/chapter/10.1007/978-3-642-36727-4_1</w:t>
        </w:r>
      </w:hyperlink>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 J. Barata, A. Mateus, and R. Martins, “An Overview of Decision Support Benchmarks,” in </w:t>
      </w:r>
      <w:r w:rsidDel="00000000" w:rsidR="00000000" w:rsidRPr="00000000">
        <w:rPr>
          <w:rFonts w:ascii="Times New Roman" w:cs="Times New Roman" w:eastAsia="Times New Roman" w:hAnsi="Times New Roman"/>
          <w:i w:val="1"/>
          <w:iCs w:val="1"/>
          <w:sz w:val="18"/>
          <w:szCs w:val="18"/>
          <w:rtl w:val="0"/>
        </w:rPr>
        <w:t xml:space="preserve">OLTP 2015</w:t>
      </w:r>
      <w:r w:rsidDel="00000000" w:rsidR="00000000" w:rsidRPr="00000000">
        <w:rPr>
          <w:rFonts w:ascii="Times New Roman" w:cs="Times New Roman" w:eastAsia="Times New Roman" w:hAnsi="Times New Roman"/>
          <w:sz w:val="18"/>
          <w:szCs w:val="18"/>
          <w:rtl w:val="0"/>
        </w:rPr>
        <w:t xml:space="preserve">. Springer, 2015. </w:t>
      </w:r>
      <w:hyperlink r:id="rId15">
        <w:r w:rsidDel="00000000" w:rsidR="00000000" w:rsidRPr="00000000">
          <w:rPr>
            <w:rFonts w:ascii="Times New Roman" w:cs="Times New Roman" w:eastAsia="Times New Roman" w:hAnsi="Times New Roman"/>
            <w:color w:val="1155cc"/>
            <w:sz w:val="18"/>
            <w:szCs w:val="18"/>
            <w:u w:val="single"/>
            <w:rtl w:val="0"/>
          </w:rPr>
          <w:t xml:space="preserve">https://link.springer.com/chapter/10.1007/978-3-319-16486-1_61</w:t>
        </w:r>
      </w:hyperlink>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[3]</w:t>
      </w:r>
      <w:r w:rsidDel="00000000" w:rsidR="00000000" w:rsidRPr="00000000">
        <w:rPr>
          <w:rFonts w:ascii="Times New Roman" w:cs="Times New Roman" w:eastAsia="Times New Roman" w:hAnsi="Times New Roman"/>
          <w:sz w:val="18"/>
          <w:szCs w:val="18"/>
          <w:rtl w:val="0"/>
        </w:rPr>
        <w:t xml:space="preserve"> P. Boncz, T. Neumann, and O. Erling, “TPC-H Analyzed: Hidden Messages and Lessons Learned from an Influential Benchmark,” in </w:t>
      </w:r>
      <w:r w:rsidDel="00000000" w:rsidR="00000000" w:rsidRPr="00000000">
        <w:rPr>
          <w:rFonts w:ascii="Times New Roman" w:cs="Times New Roman" w:eastAsia="Times New Roman" w:hAnsi="Times New Roman"/>
          <w:i w:val="1"/>
          <w:iCs w:val="1"/>
          <w:sz w:val="18"/>
          <w:szCs w:val="18"/>
          <w:rtl w:val="0"/>
        </w:rPr>
        <w:t xml:space="preserve">TPCTC 2014</w:t>
      </w:r>
      <w:r w:rsidDel="00000000" w:rsidR="00000000" w:rsidRPr="00000000">
        <w:rPr>
          <w:rFonts w:ascii="Times New Roman" w:cs="Times New Roman" w:eastAsia="Times New Roman" w:hAnsi="Times New Roman"/>
          <w:sz w:val="18"/>
          <w:szCs w:val="18"/>
          <w:rtl w:val="0"/>
        </w:rPr>
        <w:t xml:space="preserve">. Springer, 2014. </w:t>
      </w:r>
      <w:hyperlink r:id="rId16">
        <w:r w:rsidDel="00000000" w:rsidR="00000000" w:rsidRPr="00000000">
          <w:rPr>
            <w:rFonts w:ascii="Times New Roman" w:cs="Times New Roman" w:eastAsia="Times New Roman" w:hAnsi="Times New Roman"/>
            <w:color w:val="1155cc"/>
            <w:sz w:val="18"/>
            <w:szCs w:val="18"/>
            <w:u w:val="single"/>
            <w:rtl w:val="0"/>
          </w:rPr>
          <w:t xml:space="preserve">https://link.springer.com/chapter/10.1007/978-3-319-04936-6_5</w:t>
        </w:r>
      </w:hyperlink>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[4]</w:t>
      </w:r>
      <w:r w:rsidDel="00000000" w:rsidR="00000000" w:rsidRPr="00000000">
        <w:rPr>
          <w:rFonts w:ascii="Times New Roman" w:cs="Times New Roman" w:eastAsia="Times New Roman" w:hAnsi="Times New Roman"/>
          <w:sz w:val="18"/>
          <w:szCs w:val="18"/>
          <w:rtl w:val="0"/>
        </w:rPr>
        <w:t xml:space="preserve"> A. Dreseler et al., “Quantifying TPC-H Choke Points and Their Optimizations,” </w:t>
      </w:r>
      <w:r w:rsidDel="00000000" w:rsidR="00000000" w:rsidRPr="00000000">
        <w:rPr>
          <w:rFonts w:ascii="Times New Roman" w:cs="Times New Roman" w:eastAsia="Times New Roman" w:hAnsi="Times New Roman"/>
          <w:i w:val="1"/>
          <w:iCs w:val="1"/>
          <w:sz w:val="18"/>
          <w:szCs w:val="18"/>
          <w:rtl w:val="0"/>
        </w:rPr>
        <w:t xml:space="preserve">VLDB Journal</w:t>
      </w:r>
      <w:r w:rsidDel="00000000" w:rsidR="00000000" w:rsidRPr="00000000">
        <w:rPr>
          <w:rFonts w:ascii="Times New Roman" w:cs="Times New Roman" w:eastAsia="Times New Roman" w:hAnsi="Times New Roman"/>
          <w:sz w:val="18"/>
          <w:szCs w:val="18"/>
          <w:rtl w:val="0"/>
        </w:rPr>
        <w:t xml:space="preserve">, 2020. </w:t>
      </w:r>
      <w:hyperlink r:id="rId17">
        <w:r w:rsidDel="00000000" w:rsidR="00000000" w:rsidRPr="00000000">
          <w:rPr>
            <w:rFonts w:ascii="Times New Roman" w:cs="Times New Roman" w:eastAsia="Times New Roman" w:hAnsi="Times New Roman"/>
            <w:color w:val="1155cc"/>
            <w:sz w:val="18"/>
            <w:szCs w:val="18"/>
            <w:u w:val="single"/>
            <w:rtl w:val="0"/>
          </w:rPr>
          <w:t xml:space="preserve">https://dl.acm.org/doi/abs/10.14778/3389133.3389138</w:t>
        </w:r>
      </w:hyperlink>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[5]</w:t>
      </w:r>
      <w:r w:rsidDel="00000000" w:rsidR="00000000" w:rsidRPr="00000000">
        <w:rPr>
          <w:rFonts w:ascii="Times New Roman" w:cs="Times New Roman" w:eastAsia="Times New Roman" w:hAnsi="Times New Roman"/>
          <w:sz w:val="18"/>
          <w:szCs w:val="18"/>
          <w:rtl w:val="0"/>
        </w:rPr>
        <w:t xml:space="preserve"> O. Al-Kateb et al., “Adding a Temporal Dimension to the TPC-H Benchmark,” in </w:t>
      </w:r>
      <w:r w:rsidDel="00000000" w:rsidR="00000000" w:rsidRPr="00000000">
        <w:rPr>
          <w:rFonts w:ascii="Times New Roman" w:cs="Times New Roman" w:eastAsia="Times New Roman" w:hAnsi="Times New Roman"/>
          <w:i w:val="1"/>
          <w:iCs w:val="1"/>
          <w:sz w:val="18"/>
          <w:szCs w:val="18"/>
          <w:rtl w:val="0"/>
        </w:rPr>
        <w:t xml:space="preserve">TPCTC 2011</w:t>
      </w:r>
      <w:r w:rsidDel="00000000" w:rsidR="00000000" w:rsidRPr="00000000">
        <w:rPr>
          <w:rFonts w:ascii="Times New Roman" w:cs="Times New Roman" w:eastAsia="Times New Roman" w:hAnsi="Times New Roman"/>
          <w:sz w:val="18"/>
          <w:szCs w:val="18"/>
          <w:rtl w:val="0"/>
        </w:rPr>
        <w:t xml:space="preserve">. Springer, 2011. </w:t>
      </w:r>
      <w:hyperlink r:id="rId18">
        <w:r w:rsidDel="00000000" w:rsidR="00000000" w:rsidRPr="00000000">
          <w:rPr>
            <w:rFonts w:ascii="Times New Roman" w:cs="Times New Roman" w:eastAsia="Times New Roman" w:hAnsi="Times New Roman"/>
            <w:color w:val="1155cc"/>
            <w:sz w:val="18"/>
            <w:szCs w:val="18"/>
            <w:u w:val="single"/>
            <w:rtl w:val="0"/>
          </w:rPr>
          <w:t xml:space="preserve">https://link.springer.com/chapter/10.1007/978-3-642-36727-4_4</w:t>
        </w:r>
      </w:hyperlink>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[6]</w:t>
      </w:r>
      <w:r w:rsidDel="00000000" w:rsidR="00000000" w:rsidRPr="00000000">
        <w:rPr>
          <w:rFonts w:ascii="Times New Roman" w:cs="Times New Roman" w:eastAsia="Times New Roman" w:hAnsi="Times New Roman"/>
          <w:sz w:val="18"/>
          <w:szCs w:val="18"/>
          <w:rtl w:val="0"/>
        </w:rPr>
        <w:t xml:space="preserve"> B. Vandierendonck and P. Trancoso, “Building and Validating a Reduced TPC-H Benchmark,” </w:t>
      </w:r>
      <w:r w:rsidDel="00000000" w:rsidR="00000000" w:rsidRPr="00000000">
        <w:rPr>
          <w:rFonts w:ascii="Times New Roman" w:cs="Times New Roman" w:eastAsia="Times New Roman" w:hAnsi="Times New Roman"/>
          <w:i w:val="1"/>
          <w:iCs w:val="1"/>
          <w:sz w:val="18"/>
          <w:szCs w:val="18"/>
          <w:rtl w:val="0"/>
        </w:rPr>
        <w:t xml:space="preserve">IEEE Transactions on Computers</w:t>
      </w:r>
      <w:r w:rsidDel="00000000" w:rsidR="00000000" w:rsidRPr="00000000">
        <w:rPr>
          <w:rFonts w:ascii="Times New Roman" w:cs="Times New Roman" w:eastAsia="Times New Roman" w:hAnsi="Times New Roman"/>
          <w:sz w:val="18"/>
          <w:szCs w:val="18"/>
          <w:rtl w:val="0"/>
        </w:rPr>
        <w:t xml:space="preserve">, 2006. </w:t>
      </w:r>
      <w:hyperlink r:id="rId19">
        <w:r w:rsidDel="00000000" w:rsidR="00000000" w:rsidRPr="00000000">
          <w:rPr>
            <w:rFonts w:ascii="Times New Roman" w:cs="Times New Roman" w:eastAsia="Times New Roman" w:hAnsi="Times New Roman"/>
            <w:color w:val="1155cc"/>
            <w:sz w:val="18"/>
            <w:szCs w:val="18"/>
            <w:u w:val="single"/>
            <w:rtl w:val="0"/>
          </w:rPr>
          <w:t xml:space="preserve">https://ieeexplore.ieee.org/abstract/document/1698570</w:t>
        </w:r>
      </w:hyperlink>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[7]</w:t>
      </w:r>
      <w:r w:rsidDel="00000000" w:rsidR="00000000" w:rsidRPr="00000000">
        <w:rPr>
          <w:rFonts w:ascii="Times New Roman" w:cs="Times New Roman" w:eastAsia="Times New Roman" w:hAnsi="Times New Roman"/>
          <w:sz w:val="18"/>
          <w:szCs w:val="18"/>
          <w:rtl w:val="0"/>
        </w:rPr>
        <w:t xml:space="preserve"> P. Trancoso et al., “Reducing TPC-H Benchmarking Time,” in </w:t>
      </w:r>
      <w:r w:rsidDel="00000000" w:rsidR="00000000" w:rsidRPr="00000000">
        <w:rPr>
          <w:rFonts w:ascii="Times New Roman" w:cs="Times New Roman" w:eastAsia="Times New Roman" w:hAnsi="Times New Roman"/>
          <w:i w:val="1"/>
          <w:iCs w:val="1"/>
          <w:sz w:val="18"/>
          <w:szCs w:val="18"/>
          <w:rtl w:val="0"/>
        </w:rPr>
        <w:t xml:space="preserve">Euro-Par 2005</w:t>
      </w:r>
      <w:r w:rsidDel="00000000" w:rsidR="00000000" w:rsidRPr="00000000">
        <w:rPr>
          <w:rFonts w:ascii="Times New Roman" w:cs="Times New Roman" w:eastAsia="Times New Roman" w:hAnsi="Times New Roman"/>
          <w:sz w:val="18"/>
          <w:szCs w:val="18"/>
          <w:rtl w:val="0"/>
        </w:rPr>
        <w:t xml:space="preserve">. Springer, 2005. </w:t>
      </w:r>
      <w:hyperlink r:id="rId20">
        <w:r w:rsidDel="00000000" w:rsidR="00000000" w:rsidRPr="00000000">
          <w:rPr>
            <w:rFonts w:ascii="Times New Roman" w:cs="Times New Roman" w:eastAsia="Times New Roman" w:hAnsi="Times New Roman"/>
            <w:color w:val="1155cc"/>
            <w:sz w:val="18"/>
            <w:szCs w:val="18"/>
            <w:u w:val="single"/>
            <w:rtl w:val="0"/>
          </w:rPr>
          <w:t xml:space="preserve">https://link.springer.com/chapter/10.1007/11573036_61</w:t>
        </w:r>
      </w:hyperlink>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[8]</w:t>
      </w:r>
      <w:r w:rsidDel="00000000" w:rsidR="00000000" w:rsidRPr="00000000">
        <w:rPr>
          <w:rFonts w:ascii="Times New Roman" w:cs="Times New Roman" w:eastAsia="Times New Roman" w:hAnsi="Times New Roman"/>
          <w:sz w:val="18"/>
          <w:szCs w:val="18"/>
          <w:rtl w:val="0"/>
        </w:rPr>
        <w:t xml:space="preserve"> A. Crolotte and A. Ghazal, “Introducing Skew into the TPC-H Benchmark,” in </w:t>
      </w:r>
      <w:r w:rsidDel="00000000" w:rsidR="00000000" w:rsidRPr="00000000">
        <w:rPr>
          <w:rFonts w:ascii="Times New Roman" w:cs="Times New Roman" w:eastAsia="Times New Roman" w:hAnsi="Times New Roman"/>
          <w:i w:val="1"/>
          <w:iCs w:val="1"/>
          <w:sz w:val="18"/>
          <w:szCs w:val="18"/>
          <w:rtl w:val="0"/>
        </w:rPr>
        <w:t xml:space="preserve">TPCTC 2011</w:t>
      </w:r>
      <w:r w:rsidDel="00000000" w:rsidR="00000000" w:rsidRPr="00000000">
        <w:rPr>
          <w:rFonts w:ascii="Times New Roman" w:cs="Times New Roman" w:eastAsia="Times New Roman" w:hAnsi="Times New Roman"/>
          <w:sz w:val="18"/>
          <w:szCs w:val="18"/>
          <w:rtl w:val="0"/>
        </w:rPr>
        <w:t xml:space="preserve">. Springer, 2012. </w:t>
      </w:r>
      <w:hyperlink r:id="rId21">
        <w:r w:rsidDel="00000000" w:rsidR="00000000" w:rsidRPr="00000000">
          <w:rPr>
            <w:rFonts w:ascii="Times New Roman" w:cs="Times New Roman" w:eastAsia="Times New Roman" w:hAnsi="Times New Roman"/>
            <w:color w:val="1155cc"/>
            <w:sz w:val="18"/>
            <w:szCs w:val="18"/>
            <w:u w:val="single"/>
            <w:rtl w:val="0"/>
          </w:rPr>
          <w:t xml:space="preserve">https://link.springer.com/chapter/10.1007/978-3-642-32627-1_10</w:t>
        </w:r>
      </w:hyperlink>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nk.springer.com/chapter/10.1007/11573036_61" TargetMode="External"/><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yperlink" Target="https://link.springer.com/chapter/10.1007/978-3-642-32627-1_10" TargetMode="Externa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link.springer.com/chapter/10.1007/978-3-319-16486-1_61" TargetMode="External"/><Relationship Id="rId14" Type="http://schemas.openxmlformats.org/officeDocument/2006/relationships/hyperlink" Target="https://link.springer.com/chapter/10.1007/978-3-642-36727-4_1" TargetMode="External"/><Relationship Id="rId17" Type="http://schemas.openxmlformats.org/officeDocument/2006/relationships/hyperlink" Target="https://dl.acm.org/doi/abs/10.14778/3389133.3389138" TargetMode="External"/><Relationship Id="rId16" Type="http://schemas.openxmlformats.org/officeDocument/2006/relationships/hyperlink" Target="https://link.springer.com/chapter/10.1007/978-3-319-04936-6_5" TargetMode="External"/><Relationship Id="rId5" Type="http://schemas.openxmlformats.org/officeDocument/2006/relationships/styles" Target="styles.xml"/><Relationship Id="rId19" Type="http://schemas.openxmlformats.org/officeDocument/2006/relationships/hyperlink" Target="https://ieeexplore.ieee.org/abstract/document/1698570" TargetMode="External"/><Relationship Id="rId6" Type="http://schemas.openxmlformats.org/officeDocument/2006/relationships/image" Target="media/image7.png"/><Relationship Id="rId18" Type="http://schemas.openxmlformats.org/officeDocument/2006/relationships/hyperlink" Target="https://link.springer.com/chapter/10.1007/978-3-642-36727-4_4" TargetMode="Externa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