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nobg.png"/>
                    <pic:cNvPicPr/>
                  </pic:nvPicPr>
                  <pic:blipFill>
                    <a:blip r:embed="rId9"/>
                    <a:stretch>
                      <a:fillRect/>
                    </a:stretch>
                  </pic:blipFill>
                  <pic:spPr>
                    <a:xfrm>
                      <a:off x="0" y="0"/>
                      <a:ext cx="1097280" cy="1097280"/>
                    </a:xfrm>
                    <a:prstGeom prst="rect"/>
                  </pic:spPr>
                </pic:pic>
              </a:graphicData>
            </a:graphic>
          </wp:inline>
        </w:drawing>
      </w:r>
    </w:p>
    <w:p>
      <w:pPr>
        <w:jc w:val="center"/>
      </w:pPr>
      <w:r>
        <w:rPr>
          <w:i/>
          <w:sz w:val="20"/>
        </w:rPr>
        <w:t>AnantaSutra — अनन्तसूत्र</w:t>
      </w:r>
    </w:p>
    <w:p>
      <w:pPr>
        <w:jc w:val="center"/>
      </w:pPr>
      <w:r>
        <w:rPr>
          <w:i/>
          <w:sz w:val="18"/>
        </w:rPr>
        <w:t>https://anantasutra.com  •  contact@anantasutra.com</w:t>
      </w:r>
    </w:p>
    <w:p>
      <w:pPr>
        <w:spacing w:after="120"/>
        <w:jc w:val="center"/>
      </w:pPr>
      <w:r>
        <w:rPr>
          <w:rFonts w:ascii="Calibri" w:hAnsi="Calibri"/>
          <w:b/>
          <w:i w:val="0"/>
          <w:sz w:val="32"/>
        </w:rPr>
        <w:t>CONSULTANT / INDEPENDENT CONTRACTOR AGREEMENT</w:t>
      </w:r>
    </w:p>
    <w:p>
      <w:pPr>
        <w:spacing w:after="240"/>
        <w:jc w:val="center"/>
      </w:pPr>
      <w:r>
        <w:rPr>
          <w:rFonts w:ascii="Calibri" w:hAnsi="Calibri"/>
          <w:b w:val="0"/>
          <w:i/>
          <w:sz w:val="22"/>
        </w:rPr>
        <w:t>(Governed by the laws of the Republic of India)</w:t>
      </w:r>
    </w:p>
    <w:p>
      <w:pPr>
        <w:pStyle w:val="Heading1"/>
        <w:keepNext/>
        <w:spacing w:before="280" w:after="120"/>
      </w:pPr>
      <w:r>
        <w:rPr>
          <w:rFonts w:ascii="Calibri" w:hAnsi="Calibri"/>
          <w:b/>
          <w:i w:val="0"/>
          <w:color w:val="000000"/>
          <w:sz w:val="26"/>
        </w:rPr>
        <w:t>1. PARTIES</w:t>
      </w:r>
    </w:p>
    <w:p>
      <w:pPr>
        <w:spacing w:after="120" w:before="0" w:line="276" w:lineRule="auto"/>
        <w:jc w:val="both"/>
      </w:pPr>
      <w:r>
        <w:rPr>
          <w:rFonts w:ascii="Calibri" w:hAnsi="Calibri"/>
          <w:b w:val="0"/>
          <w:i w:val="0"/>
          <w:sz w:val="22"/>
        </w:rPr>
        <w:t>This Consultant / Independent Contractor Agreement (the “Agreement”) is made and entered into at New Delhi, Delhi, on this [DAY] day of [MONTH], [YEAR] (the “Effective Date”), BY AND BETWEEN:</w:t>
      </w:r>
    </w:p>
    <w:p>
      <w:pPr>
        <w:spacing w:after="120" w:before="0" w:line="276" w:lineRule="auto"/>
        <w:jc w:val="both"/>
      </w:pPr>
      <w:r>
        <w:rPr>
          <w:rFonts w:ascii="Calibri" w:hAnsi="Calibri"/>
          <w:b w:val="0"/>
          <w:i w:val="0"/>
          <w:sz w:val="22"/>
        </w:rPr>
        <w:t>(1) ANANTASUTRA, a business concern operated and represented by its Founder &amp; CEO, Mr. Himanshu Mishra, carrying on business under the trade name “AnantaSutra”, having its principal place of business at Delhi, India, with contact address contact@anantasutra.com (hereinafter referred to as “AnantaSutra” or the “Company”, which expression shall, unless repugnant to the context or meaning thereof, be deemed to include its successors, assigns, and the person(s) for the time being in control of the business), acting through its Founder &amp; CEO, Mr. Himanshu Mishra, of the ONE PART;</w:t>
      </w:r>
    </w:p>
    <w:p>
      <w:pPr>
        <w:spacing w:after="120" w:before="0" w:line="276" w:lineRule="auto"/>
        <w:jc w:val="both"/>
      </w:pPr>
      <w:r>
        <w:rPr>
          <w:rFonts w:ascii="Calibri" w:hAnsi="Calibri"/>
          <w:b w:val="0"/>
          <w:i w:val="0"/>
          <w:sz w:val="22"/>
        </w:rPr>
        <w:t>AND</w:t>
      </w:r>
    </w:p>
    <w:p>
      <w:pPr>
        <w:spacing w:after="120" w:before="0" w:line="276" w:lineRule="auto"/>
        <w:jc w:val="both"/>
      </w:pPr>
      <w:r>
        <w:rPr>
          <w:rFonts w:ascii="Calibri" w:hAnsi="Calibri"/>
          <w:b w:val="0"/>
          <w:i w:val="0"/>
          <w:sz w:val="22"/>
        </w:rPr>
        <w:t>(2) [CONSULTANT NAME], [an individual Indian citizen aged [AGE] years, residing at [ADDRESS] / a sole proprietorship concern / a partnership firm registered under the Indian Partnership Act, 1932 / a limited liability partnership registered under the Limited Liability Partnership Act, 2008 / a company incorporated under the Companies Act, 2013], bearing Permanent Account Number (PAN) [CONSULTANT PAN], Goods and Services Tax Identification Number (GSTIN) [CONSULTANT GSTIN — if registered; else write “Not Registered”], having its principal place of business / residence at [CONSULTANT ADDRESS] (hereinafter referred to as the “Consultant”, which expression shall, unless repugnant to the context or meaning thereof, be deemed to include its / his / her legal heirs, successors-in-interest and permitted assigns), of the OTHER PART.</w:t>
      </w:r>
    </w:p>
    <w:p>
      <w:pPr>
        <w:spacing w:after="120" w:before="0" w:line="276" w:lineRule="auto"/>
        <w:jc w:val="both"/>
      </w:pPr>
      <w:r>
        <w:rPr>
          <w:rFonts w:ascii="Calibri" w:hAnsi="Calibri"/>
          <w:b w:val="0"/>
          <w:i w:val="0"/>
          <w:sz w:val="22"/>
        </w:rPr>
        <w:t>AnantaSutra and the Consultant are hereinafter referred to individually as a “Party” and collectively as the “Parties”.</w:t>
      </w:r>
    </w:p>
    <w:p>
      <w:pPr>
        <w:pStyle w:val="Heading1"/>
        <w:keepNext/>
        <w:spacing w:before="280" w:after="120"/>
      </w:pPr>
      <w:r>
        <w:rPr>
          <w:rFonts w:ascii="Calibri" w:hAnsi="Calibri"/>
          <w:b/>
          <w:i w:val="0"/>
          <w:color w:val="000000"/>
          <w:sz w:val="26"/>
        </w:rPr>
        <w:t>2. RECITALS</w:t>
      </w:r>
    </w:p>
    <w:p>
      <w:pPr>
        <w:spacing w:after="120" w:before="0" w:line="276" w:lineRule="auto"/>
        <w:jc w:val="both"/>
      </w:pPr>
      <w:r>
        <w:rPr>
          <w:rFonts w:ascii="Calibri" w:hAnsi="Calibri"/>
          <w:b w:val="0"/>
          <w:i w:val="0"/>
          <w:sz w:val="22"/>
        </w:rPr>
        <w:t>WHEREAS, the Company is engaged in the business of [DESCRIBE ANANTASUTRA BUSINESS — e.g., software products, technology consulting, digital platforms] and, in connection therewith, requires specialised professional services from time to time;</w:t>
      </w:r>
    </w:p>
    <w:p>
      <w:pPr>
        <w:spacing w:after="120" w:before="0" w:line="276" w:lineRule="auto"/>
        <w:jc w:val="both"/>
      </w:pPr>
      <w:r>
        <w:rPr>
          <w:rFonts w:ascii="Calibri" w:hAnsi="Calibri"/>
          <w:b w:val="0"/>
          <w:i w:val="0"/>
          <w:sz w:val="22"/>
        </w:rPr>
        <w:t>WHEREAS, the Consultant represents that the Consultant possesses the requisite skill, qualifications, experience, infrastructure and capability to render professional consultancy services in the field of [CONSULTANT'S DOMAIN / AREA OF EXPERTISE] on a “contract for services” (principal-to-principal) basis;</w:t>
      </w:r>
    </w:p>
    <w:p>
      <w:pPr>
        <w:spacing w:after="120" w:before="0" w:line="276" w:lineRule="auto"/>
        <w:jc w:val="both"/>
      </w:pPr>
      <w:r>
        <w:rPr>
          <w:rFonts w:ascii="Calibri" w:hAnsi="Calibri"/>
          <w:b w:val="0"/>
          <w:i w:val="0"/>
          <w:sz w:val="22"/>
        </w:rPr>
        <w:t>WHEREAS, the Company is desirous of engaging the Consultant as an independent contractor, and the Consultant is desirous of being so engaged, upon the terms and conditions set out in this Agreement;</w:t>
      </w:r>
    </w:p>
    <w:p>
      <w:pPr>
        <w:spacing w:after="120" w:before="0" w:line="276" w:lineRule="auto"/>
        <w:jc w:val="both"/>
      </w:pPr>
      <w:r>
        <w:rPr>
          <w:rFonts w:ascii="Calibri" w:hAnsi="Calibri"/>
          <w:b w:val="0"/>
          <w:i w:val="0"/>
          <w:sz w:val="22"/>
        </w:rPr>
        <w:t>WHEREAS, the Parties expressly acknowledge and agree that this Agreement is executed on a principal-to-principal basis, and nothing herein shall be construed as creating a relationship of employer and employee, master and servant, principal and agent, joint venture, partnership, or association between the Parties.</w:t>
      </w:r>
    </w:p>
    <w:p>
      <w:pPr>
        <w:spacing w:after="120" w:before="0" w:line="276" w:lineRule="auto"/>
        <w:jc w:val="both"/>
      </w:pPr>
      <w:r>
        <w:rPr>
          <w:rFonts w:ascii="Calibri" w:hAnsi="Calibri"/>
          <w:b w:val="0"/>
          <w:i w:val="0"/>
          <w:sz w:val="22"/>
        </w:rPr>
        <w:t>NOW, THEREFORE, in consideration of the mutual covenants, promises and undertakings contained herein, and for other good and valuable consideration, the receipt and sufficiency whereof are hereby acknowledged, the Parties agree as follows:</w:t>
      </w:r>
    </w:p>
    <w:p>
      <w:pPr>
        <w:pStyle w:val="Heading1"/>
        <w:keepNext/>
        <w:spacing w:before="280" w:after="120"/>
      </w:pPr>
      <w:r>
        <w:rPr>
          <w:rFonts w:ascii="Calibri" w:hAnsi="Calibri"/>
          <w:b/>
          <w:i w:val="0"/>
          <w:color w:val="000000"/>
          <w:sz w:val="26"/>
        </w:rPr>
        <w:t>3. DEFINITIONS AND INTERPRETATION</w:t>
      </w:r>
    </w:p>
    <w:p>
      <w:pPr>
        <w:spacing w:after="120" w:line="276" w:lineRule="auto"/>
        <w:jc w:val="both"/>
      </w:pPr>
      <w:r>
        <w:rPr>
          <w:rFonts w:ascii="Calibri" w:hAnsi="Calibri"/>
          <w:b/>
          <w:i w:val="0"/>
          <w:sz w:val="22"/>
        </w:rPr>
        <w:t xml:space="preserve">3.1 </w:t>
      </w:r>
      <w:r>
        <w:rPr>
          <w:rFonts w:ascii="Calibri" w:hAnsi="Calibri"/>
          <w:b w:val="0"/>
          <w:i w:val="0"/>
          <w:sz w:val="22"/>
        </w:rPr>
        <w:t>In this Agreement, unless the context otherwise requires, the following capitalised terms shall have the meanings assigned to them below:</w:t>
      </w:r>
    </w:p>
    <w:p>
      <w:pPr>
        <w:spacing w:after="80" w:line="276" w:lineRule="auto"/>
        <w:ind w:left="432"/>
        <w:jc w:val="both"/>
      </w:pPr>
      <w:r>
        <w:rPr>
          <w:rFonts w:ascii="Calibri" w:hAnsi="Calibri"/>
          <w:b/>
          <w:i w:val="0"/>
          <w:sz w:val="22"/>
        </w:rPr>
        <w:t xml:space="preserve">“Affiliate” </w:t>
      </w:r>
      <w:r>
        <w:rPr>
          <w:rFonts w:ascii="Calibri" w:hAnsi="Calibri"/>
          <w:b w:val="0"/>
          <w:i w:val="0"/>
          <w:sz w:val="22"/>
        </w:rPr>
        <w:t>in relation to a Party, means any entity that directly or indirectly controls, is controlled by, or is under common control with such Party, where “control” means beneficial ownership of fifty per cent (50%) or more of the voting equity or the power to direct the management and policies of such entity.</w:t>
      </w:r>
    </w:p>
    <w:p>
      <w:pPr>
        <w:spacing w:after="80" w:line="276" w:lineRule="auto"/>
        <w:ind w:left="432"/>
        <w:jc w:val="both"/>
      </w:pPr>
      <w:r>
        <w:rPr>
          <w:rFonts w:ascii="Calibri" w:hAnsi="Calibri"/>
          <w:b/>
          <w:i w:val="0"/>
          <w:sz w:val="22"/>
        </w:rPr>
        <w:t xml:space="preserve">“Agreement” </w:t>
      </w:r>
      <w:r>
        <w:rPr>
          <w:rFonts w:ascii="Calibri" w:hAnsi="Calibri"/>
          <w:b w:val="0"/>
          <w:i w:val="0"/>
          <w:sz w:val="22"/>
        </w:rPr>
        <w:t>means this Consultant / Independent Contractor Agreement together with all schedules, exhibits, annexures and statements of work attached hereto or executed pursuant hereto, as amended in writing from time to time.</w:t>
      </w:r>
    </w:p>
    <w:p>
      <w:pPr>
        <w:spacing w:after="80" w:line="276" w:lineRule="auto"/>
        <w:ind w:left="432"/>
        <w:jc w:val="both"/>
      </w:pPr>
      <w:r>
        <w:rPr>
          <w:rFonts w:ascii="Calibri" w:hAnsi="Calibri"/>
          <w:b/>
          <w:i w:val="0"/>
          <w:sz w:val="22"/>
        </w:rPr>
        <w:t xml:space="preserve">“Applicable Laws” </w:t>
      </w:r>
      <w:r>
        <w:rPr>
          <w:rFonts w:ascii="Calibri" w:hAnsi="Calibri"/>
          <w:b w:val="0"/>
          <w:i w:val="0"/>
          <w:sz w:val="22"/>
        </w:rPr>
        <w:t>means all applicable statutes, enactments, ordinances, rules, regulations, notifications, guidelines, directions, orders or decrees of any Governmental Authority having jurisdiction over the Parties or the subject matter of this Agreement, including but not limited to the Indian Contract Act, 1872, the Copyright Act, 1957, the Patents Act, 1970, the Trade Marks Act, 1999, the Designs Act, 2000, the Information Technology Act, 2000, the Digital Personal Data Protection Act, 2023, the Income-tax Act, 1961, the Central Goods and Services Tax Act, 2017 and State GST legislations, the Indian Stamp Act, 1899, the Arbitration and Conciliation Act, 1996, and the Specific Relief Act, 1963.</w:t>
      </w:r>
    </w:p>
    <w:p>
      <w:pPr>
        <w:spacing w:after="80" w:line="276" w:lineRule="auto"/>
        <w:ind w:left="432"/>
        <w:jc w:val="both"/>
      </w:pPr>
      <w:r>
        <w:rPr>
          <w:rFonts w:ascii="Calibri" w:hAnsi="Calibri"/>
          <w:b/>
          <w:i w:val="0"/>
          <w:sz w:val="22"/>
        </w:rPr>
        <w:t xml:space="preserve">“Background IP” </w:t>
      </w:r>
      <w:r>
        <w:rPr>
          <w:rFonts w:ascii="Calibri" w:hAnsi="Calibri"/>
          <w:b w:val="0"/>
          <w:i w:val="0"/>
          <w:sz w:val="22"/>
        </w:rPr>
        <w:t>means Intellectual Property owned, controlled or licensed (with the right to sub-licence) by a Party prior to the Effective Date, or developed independently of this Agreement and outside the scope of the Services, as further identified for the Consultant in Exhibit B.</w:t>
      </w:r>
    </w:p>
    <w:p>
      <w:pPr>
        <w:spacing w:after="80" w:line="276" w:lineRule="auto"/>
        <w:ind w:left="432"/>
        <w:jc w:val="both"/>
      </w:pPr>
      <w:r>
        <w:rPr>
          <w:rFonts w:ascii="Calibri" w:hAnsi="Calibri"/>
          <w:b/>
          <w:i w:val="0"/>
          <w:sz w:val="22"/>
        </w:rPr>
        <w:t xml:space="preserve">“Confidential Information” </w:t>
      </w:r>
      <w:r>
        <w:rPr>
          <w:rFonts w:ascii="Calibri" w:hAnsi="Calibri"/>
          <w:b w:val="0"/>
          <w:i w:val="0"/>
          <w:sz w:val="22"/>
        </w:rPr>
        <w:t>means all non-public information, in any form or medium, whether or not marked or designated as “confidential” or “proprietary”, disclosed by or on behalf of the Disclosing Party to the Receiving Party in connection with this Agreement, including but not limited to technical data, source code, object code, algorithms, architectures, designs, trade secrets, know-how, business plans, customer lists, pricing, financial information, employee and consultant information, Personal Data, and all derivatives, analyses, summaries and extracts thereof.</w:t>
      </w:r>
    </w:p>
    <w:p>
      <w:pPr>
        <w:spacing w:after="80" w:line="276" w:lineRule="auto"/>
        <w:ind w:left="432"/>
        <w:jc w:val="both"/>
      </w:pPr>
      <w:r>
        <w:rPr>
          <w:rFonts w:ascii="Calibri" w:hAnsi="Calibri"/>
          <w:b/>
          <w:i w:val="0"/>
          <w:sz w:val="22"/>
        </w:rPr>
        <w:t xml:space="preserve">“Deliverables” </w:t>
      </w:r>
      <w:r>
        <w:rPr>
          <w:rFonts w:ascii="Calibri" w:hAnsi="Calibri"/>
          <w:b w:val="0"/>
          <w:i w:val="0"/>
          <w:sz w:val="22"/>
        </w:rPr>
        <w:t>means all work product, materials, reports, designs, software, source code, object code, documentation, data, drawings, specifications, plans, and other tangible or intangible outputs created, developed, produced, generated or delivered by the Consultant (alone or with others) in the course of or as a result of performing the Services, as further described in the applicable Statement of Work.</w:t>
      </w:r>
    </w:p>
    <w:p>
      <w:pPr>
        <w:spacing w:after="80" w:line="276" w:lineRule="auto"/>
        <w:ind w:left="432"/>
        <w:jc w:val="both"/>
      </w:pPr>
      <w:r>
        <w:rPr>
          <w:rFonts w:ascii="Calibri" w:hAnsi="Calibri"/>
          <w:b/>
          <w:i w:val="0"/>
          <w:sz w:val="22"/>
        </w:rPr>
        <w:t xml:space="preserve">“DPDP Act” </w:t>
      </w:r>
      <w:r>
        <w:rPr>
          <w:rFonts w:ascii="Calibri" w:hAnsi="Calibri"/>
          <w:b w:val="0"/>
          <w:i w:val="0"/>
          <w:sz w:val="22"/>
        </w:rPr>
        <w:t>means the Digital Personal Data Protection Act, 2023, together with the rules, regulations and notifications made thereunder, as amended from time to time.</w:t>
      </w:r>
    </w:p>
    <w:p>
      <w:pPr>
        <w:spacing w:after="80" w:line="276" w:lineRule="auto"/>
        <w:ind w:left="432"/>
        <w:jc w:val="both"/>
      </w:pPr>
      <w:r>
        <w:rPr>
          <w:rFonts w:ascii="Calibri" w:hAnsi="Calibri"/>
          <w:b/>
          <w:i w:val="0"/>
          <w:sz w:val="22"/>
        </w:rPr>
        <w:t xml:space="preserve">“Effective Date” </w:t>
      </w:r>
      <w:r>
        <w:rPr>
          <w:rFonts w:ascii="Calibri" w:hAnsi="Calibri"/>
          <w:b w:val="0"/>
          <w:i w:val="0"/>
          <w:sz w:val="22"/>
        </w:rPr>
        <w:t>means the date first written at the head of this Agreement.</w:t>
      </w:r>
    </w:p>
    <w:p>
      <w:pPr>
        <w:spacing w:after="80" w:line="276" w:lineRule="auto"/>
        <w:ind w:left="432"/>
        <w:jc w:val="both"/>
      </w:pPr>
      <w:r>
        <w:rPr>
          <w:rFonts w:ascii="Calibri" w:hAnsi="Calibri"/>
          <w:b/>
          <w:i w:val="0"/>
          <w:sz w:val="22"/>
        </w:rPr>
        <w:t xml:space="preserve">“Fees” </w:t>
      </w:r>
      <w:r>
        <w:rPr>
          <w:rFonts w:ascii="Calibri" w:hAnsi="Calibri"/>
          <w:b w:val="0"/>
          <w:i w:val="0"/>
          <w:sz w:val="22"/>
        </w:rPr>
        <w:t>means the professional fees payable by the Company to the Consultant for the Services, as specified in the applicable Statement of Work or Exhibit A.</w:t>
      </w:r>
    </w:p>
    <w:p>
      <w:pPr>
        <w:spacing w:after="80" w:line="276" w:lineRule="auto"/>
        <w:ind w:left="432"/>
        <w:jc w:val="both"/>
      </w:pPr>
      <w:r>
        <w:rPr>
          <w:rFonts w:ascii="Calibri" w:hAnsi="Calibri"/>
          <w:b/>
          <w:i w:val="0"/>
          <w:sz w:val="22"/>
        </w:rPr>
        <w:t xml:space="preserve">“Foreground IP” </w:t>
      </w:r>
      <w:r>
        <w:rPr>
          <w:rFonts w:ascii="Calibri" w:hAnsi="Calibri"/>
          <w:b w:val="0"/>
          <w:i w:val="0"/>
          <w:sz w:val="22"/>
        </w:rPr>
        <w:t>means all Intellectual Property created, conceived, developed, made, reduced to practice or first fixed in a tangible medium by the Consultant (alone or jointly with others, including employees, contractors or personnel of the Company), in the course of, arising out of, or in connection with the performance of the Services or the Deliverables, whether during or outside the Consultant's working hours and whether at the Consultant's or the Company's premises.</w:t>
      </w:r>
    </w:p>
    <w:p>
      <w:pPr>
        <w:spacing w:after="80" w:line="276" w:lineRule="auto"/>
        <w:ind w:left="432"/>
        <w:jc w:val="both"/>
      </w:pPr>
      <w:r>
        <w:rPr>
          <w:rFonts w:ascii="Calibri" w:hAnsi="Calibri"/>
          <w:b/>
          <w:i w:val="0"/>
          <w:sz w:val="22"/>
        </w:rPr>
        <w:t xml:space="preserve">“Governmental Authority” </w:t>
      </w:r>
      <w:r>
        <w:rPr>
          <w:rFonts w:ascii="Calibri" w:hAnsi="Calibri"/>
          <w:b w:val="0"/>
          <w:i w:val="0"/>
          <w:sz w:val="22"/>
        </w:rPr>
        <w:t>means the Government of India, any State Government, any statutory, regulatory, judicial or quasi-judicial authority, tribunal, body, commission or agency having jurisdiction over the Parties or the subject matter of this Agreement.</w:t>
      </w:r>
    </w:p>
    <w:p>
      <w:pPr>
        <w:spacing w:after="80" w:line="276" w:lineRule="auto"/>
        <w:ind w:left="432"/>
        <w:jc w:val="both"/>
      </w:pPr>
      <w:r>
        <w:rPr>
          <w:rFonts w:ascii="Calibri" w:hAnsi="Calibri"/>
          <w:b/>
          <w:i w:val="0"/>
          <w:sz w:val="22"/>
        </w:rPr>
        <w:t xml:space="preserve">“Intellectual Property” or “IP” </w:t>
      </w:r>
      <w:r>
        <w:rPr>
          <w:rFonts w:ascii="Calibri" w:hAnsi="Calibri"/>
          <w:b w:val="0"/>
          <w:i w:val="0"/>
          <w:sz w:val="22"/>
        </w:rPr>
        <w:t>means any and all intellectual and industrial property rights recognised under Applicable Laws, including but not limited to copyrights and related rights, patents and patent applications, trade marks and service marks (whether registered or unregistered), designs (whether registered or unregistered), trade secrets, know-how, database rights, topography rights, rights in domain names, moral rights, rights of publicity, and all applications, registrations, renewals and extensions thereof, anywhere in the world.</w:t>
      </w:r>
    </w:p>
    <w:p>
      <w:pPr>
        <w:spacing w:after="80" w:line="276" w:lineRule="auto"/>
        <w:ind w:left="432"/>
        <w:jc w:val="both"/>
      </w:pPr>
      <w:r>
        <w:rPr>
          <w:rFonts w:ascii="Calibri" w:hAnsi="Calibri"/>
          <w:b/>
          <w:i w:val="0"/>
          <w:sz w:val="22"/>
        </w:rPr>
        <w:t xml:space="preserve">“Personal Data” </w:t>
      </w:r>
      <w:r>
        <w:rPr>
          <w:rFonts w:ascii="Calibri" w:hAnsi="Calibri"/>
          <w:b w:val="0"/>
          <w:i w:val="0"/>
          <w:sz w:val="22"/>
        </w:rPr>
        <w:t>has the meaning ascribed to it under Section 2(t) of the DPDP Act.</w:t>
      </w:r>
    </w:p>
    <w:p>
      <w:pPr>
        <w:spacing w:after="80" w:line="276" w:lineRule="auto"/>
        <w:ind w:left="432"/>
        <w:jc w:val="both"/>
      </w:pPr>
      <w:r>
        <w:rPr>
          <w:rFonts w:ascii="Calibri" w:hAnsi="Calibri"/>
          <w:b/>
          <w:i w:val="0"/>
          <w:sz w:val="22"/>
        </w:rPr>
        <w:t xml:space="preserve">“Services” </w:t>
      </w:r>
      <w:r>
        <w:rPr>
          <w:rFonts w:ascii="Calibri" w:hAnsi="Calibri"/>
          <w:b w:val="0"/>
          <w:i w:val="0"/>
          <w:sz w:val="22"/>
        </w:rPr>
        <w:t>means the professional consultancy services to be provided by the Consultant to the Company as described in Clause 5 and the applicable Statement of Work set out in Exhibit A.</w:t>
      </w:r>
    </w:p>
    <w:p>
      <w:pPr>
        <w:spacing w:after="80" w:line="276" w:lineRule="auto"/>
        <w:ind w:left="432"/>
        <w:jc w:val="both"/>
      </w:pPr>
      <w:r>
        <w:rPr>
          <w:rFonts w:ascii="Calibri" w:hAnsi="Calibri"/>
          <w:b/>
          <w:i w:val="0"/>
          <w:sz w:val="22"/>
        </w:rPr>
        <w:t xml:space="preserve">“Statement of Work” or “SOW” </w:t>
      </w:r>
      <w:r>
        <w:rPr>
          <w:rFonts w:ascii="Calibri" w:hAnsi="Calibri"/>
          <w:b w:val="0"/>
          <w:i w:val="0"/>
          <w:sz w:val="22"/>
        </w:rPr>
        <w:t>means a written document executed by both Parties, substantially in the form of Exhibit A, describing the specific scope, Deliverables, timelines, Fees, acceptance criteria and other particulars of a specific engagement under this Agreement.</w:t>
      </w:r>
    </w:p>
    <w:p>
      <w:pPr>
        <w:spacing w:after="80" w:line="276" w:lineRule="auto"/>
        <w:ind w:left="432"/>
        <w:jc w:val="both"/>
      </w:pPr>
      <w:r>
        <w:rPr>
          <w:rFonts w:ascii="Calibri" w:hAnsi="Calibri"/>
          <w:b/>
          <w:i w:val="0"/>
          <w:sz w:val="22"/>
        </w:rPr>
        <w:t xml:space="preserve">“Term” </w:t>
      </w:r>
      <w:r>
        <w:rPr>
          <w:rFonts w:ascii="Calibri" w:hAnsi="Calibri"/>
          <w:b w:val="0"/>
          <w:i w:val="0"/>
          <w:sz w:val="22"/>
        </w:rPr>
        <w:t>has the meaning ascribed to it in Clause 6.</w:t>
      </w:r>
    </w:p>
    <w:p>
      <w:pPr>
        <w:spacing w:after="80" w:line="276" w:lineRule="auto"/>
        <w:ind w:left="432"/>
        <w:jc w:val="both"/>
      </w:pPr>
      <w:r>
        <w:rPr>
          <w:rFonts w:ascii="Calibri" w:hAnsi="Calibri"/>
          <w:b/>
          <w:i w:val="0"/>
          <w:sz w:val="22"/>
        </w:rPr>
        <w:t xml:space="preserve">“Third Party” </w:t>
      </w:r>
      <w:r>
        <w:rPr>
          <w:rFonts w:ascii="Calibri" w:hAnsi="Calibri"/>
          <w:b w:val="0"/>
          <w:i w:val="0"/>
          <w:sz w:val="22"/>
        </w:rPr>
        <w:t>means any person other than the Parties and their respective Affiliates.</w:t>
      </w:r>
    </w:p>
    <w:p>
      <w:pPr>
        <w:spacing w:after="120" w:line="276" w:lineRule="auto"/>
        <w:jc w:val="both"/>
      </w:pPr>
      <w:r>
        <w:rPr>
          <w:rFonts w:ascii="Calibri" w:hAnsi="Calibri"/>
          <w:b/>
          <w:i w:val="0"/>
          <w:sz w:val="22"/>
        </w:rPr>
        <w:t xml:space="preserve">3.2 Interpretation. </w:t>
      </w:r>
      <w:r>
        <w:rPr>
          <w:rFonts w:ascii="Calibri" w:hAnsi="Calibri"/>
          <w:b w:val="0"/>
          <w:i w:val="0"/>
          <w:sz w:val="22"/>
        </w:rPr>
        <w:t>In this Agreement, unless the context otherwise requires: (a) the singular includes the plural and vice versa; (b) references to clauses, schedules and exhibits are to clauses, schedules and exhibits of this Agreement; (c) headings are for convenience only and shall not affect interpretation; (d) references to statutes include any modifications or re-enactments thereof; (e) the words “including”, “includes” and “include” shall be deemed to be followed by the words “without limitation”; and (f) all references to time are to Indian Standard Time.</w:t>
      </w:r>
    </w:p>
    <w:p>
      <w:pPr>
        <w:pStyle w:val="Heading1"/>
        <w:keepNext/>
        <w:spacing w:before="280" w:after="120"/>
      </w:pPr>
      <w:r>
        <w:rPr>
          <w:rFonts w:ascii="Calibri" w:hAnsi="Calibri"/>
          <w:b/>
          <w:i w:val="0"/>
          <w:color w:val="000000"/>
          <w:sz w:val="26"/>
        </w:rPr>
        <w:t>4. ENGAGEMENT AND INDEPENDENT-CONTRACTOR STATUS</w:t>
      </w:r>
    </w:p>
    <w:p>
      <w:pPr>
        <w:spacing w:after="120" w:line="276" w:lineRule="auto"/>
        <w:jc w:val="both"/>
      </w:pPr>
      <w:r>
        <w:rPr>
          <w:rFonts w:ascii="Calibri" w:hAnsi="Calibri"/>
          <w:b/>
          <w:i w:val="0"/>
          <w:sz w:val="22"/>
        </w:rPr>
        <w:t xml:space="preserve">4.1 Engagement. </w:t>
      </w:r>
      <w:r>
        <w:rPr>
          <w:rFonts w:ascii="Calibri" w:hAnsi="Calibri"/>
          <w:b w:val="0"/>
          <w:i w:val="0"/>
          <w:sz w:val="22"/>
        </w:rPr>
        <w:t>The Company hereby engages the Consultant, and the Consultant hereby accepts such engagement, on a non-exclusive, principal-to-principal, contract-for-services basis, to render the Services upon the terms and conditions set out in this Agreement and the applicable Statement of Work.</w:t>
      </w:r>
    </w:p>
    <w:p>
      <w:pPr>
        <w:spacing w:after="120" w:line="276" w:lineRule="auto"/>
        <w:jc w:val="both"/>
      </w:pPr>
      <w:r>
        <w:rPr>
          <w:rFonts w:ascii="Calibri" w:hAnsi="Calibri"/>
          <w:b/>
          <w:i w:val="0"/>
          <w:sz w:val="22"/>
        </w:rPr>
        <w:t xml:space="preserve">4.2 Not an employee. </w:t>
      </w:r>
      <w:r>
        <w:rPr>
          <w:rFonts w:ascii="Calibri" w:hAnsi="Calibri"/>
          <w:b w:val="0"/>
          <w:i w:val="0"/>
          <w:sz w:val="22"/>
        </w:rPr>
        <w:t>The Parties expressly acknowledge and agree that the Consultant is, and shall at all times remain, an independent contractor. Nothing in this Agreement shall be construed as creating between the Parties, whether directly or indirectly, a relationship of employer and employee, master and servant, principal and agent, partnership, joint venture, association of persons, or any similar legal relationship. The Consultant is not, and shall not hold itself out as, an employee, officer, director, agent or representative of the Company.</w:t>
      </w:r>
    </w:p>
    <w:p>
      <w:pPr>
        <w:spacing w:after="120" w:line="276" w:lineRule="auto"/>
        <w:jc w:val="both"/>
      </w:pPr>
      <w:r>
        <w:rPr>
          <w:rFonts w:ascii="Calibri" w:hAnsi="Calibri"/>
          <w:b/>
          <w:i w:val="0"/>
          <w:sz w:val="22"/>
        </w:rPr>
        <w:t xml:space="preserve">4.3 No employee benefits. </w:t>
      </w:r>
      <w:r>
        <w:rPr>
          <w:rFonts w:ascii="Calibri" w:hAnsi="Calibri"/>
          <w:b w:val="0"/>
          <w:i w:val="0"/>
          <w:sz w:val="22"/>
        </w:rPr>
        <w:t>The Consultant shall not be entitled to, and shall not claim, any benefits available to the employees of the Company, including but not limited to: (a) provident fund contributions under the Employees' Provident Funds and Miscellaneous Provisions Act, 1952; (b) benefits under the Employees' State Insurance Act, 1948; (c) gratuity under the Payment of Gratuity Act, 1972; (d) bonus under the Payment of Bonus Act, 1965; (e) paid leave, sick leave, casual leave, earned leave or public holiday pay; (f) medical insurance, life insurance, or group health cover; (g) employee stock option plans (ESOPs) or restricted stock units, save and except under a separate, expressly written Consultant stock plan (if any); (h) maternity, paternity or parental benefits; or (i) any statutory notice pay, retrenchment compensation or severance.</w:t>
      </w:r>
    </w:p>
    <w:p>
      <w:pPr>
        <w:spacing w:after="120" w:line="276" w:lineRule="auto"/>
        <w:jc w:val="both"/>
      </w:pPr>
      <w:r>
        <w:rPr>
          <w:rFonts w:ascii="Calibri" w:hAnsi="Calibri"/>
          <w:b/>
          <w:i w:val="0"/>
          <w:sz w:val="22"/>
        </w:rPr>
        <w:t xml:space="preserve">4.4 No fixed hours; own tools and control. </w:t>
      </w:r>
      <w:r>
        <w:rPr>
          <w:rFonts w:ascii="Calibri" w:hAnsi="Calibri"/>
          <w:b w:val="0"/>
          <w:i w:val="0"/>
          <w:sz w:val="22"/>
        </w:rPr>
        <w:t>The Consultant shall determine the manner, method, means and sequence of performing the Services so as to achieve the Deliverables and meet the acceptance criteria set out in the Statement of Work. The Consultant shall not be required to observe fixed office hours, punch attendance, apply for leave, or adhere to any shift roster of the Company. The Consultant shall provide and use its own tools, equipment, hardware, software, licences and infrastructure to perform the Services, save for Company-provided resources (if any) expressly identified in the Statement of Work.</w:t>
      </w:r>
    </w:p>
    <w:p>
      <w:pPr>
        <w:spacing w:after="120" w:line="276" w:lineRule="auto"/>
        <w:jc w:val="both"/>
      </w:pPr>
      <w:r>
        <w:rPr>
          <w:rFonts w:ascii="Calibri" w:hAnsi="Calibri"/>
          <w:b/>
          <w:i w:val="0"/>
          <w:sz w:val="22"/>
        </w:rPr>
        <w:t xml:space="preserve">4.5 No authority to bind. </w:t>
      </w:r>
      <w:r>
        <w:rPr>
          <w:rFonts w:ascii="Calibri" w:hAnsi="Calibri"/>
          <w:b w:val="0"/>
          <w:i w:val="0"/>
          <w:sz w:val="22"/>
        </w:rPr>
        <w:t>The Consultant shall have no authority, express or implied, to bind, represent, act for, or incur any obligation or liability on behalf of the Company, and shall not hold itself out as having any such authority. The Consultant shall not sign any contract, issue any purchase order, accept any offer, or make any commitment on behalf of the Company.</w:t>
      </w:r>
    </w:p>
    <w:p>
      <w:pPr>
        <w:spacing w:after="120" w:line="276" w:lineRule="auto"/>
        <w:jc w:val="both"/>
      </w:pPr>
      <w:r>
        <w:rPr>
          <w:rFonts w:ascii="Calibri" w:hAnsi="Calibri"/>
          <w:b/>
          <w:i w:val="0"/>
          <w:sz w:val="22"/>
        </w:rPr>
        <w:t xml:space="preserve">4.6 Non-exclusive engagement. </w:t>
      </w:r>
      <w:r>
        <w:rPr>
          <w:rFonts w:ascii="Calibri" w:hAnsi="Calibri"/>
          <w:b w:val="0"/>
          <w:i w:val="0"/>
          <w:sz w:val="22"/>
        </w:rPr>
        <w:t>Subject to Clause 4.7 (Conflict), the Consultant may, during the Term, render services to other clients on its own account, provided that such engagements do not (i) interfere with the timely performance of the Services, or (ii) create a conflict of interest with the Company or its customers.</w:t>
      </w:r>
    </w:p>
    <w:p>
      <w:pPr>
        <w:spacing w:after="120" w:line="276" w:lineRule="auto"/>
        <w:jc w:val="both"/>
      </w:pPr>
      <w:r>
        <w:rPr>
          <w:rFonts w:ascii="Calibri" w:hAnsi="Calibri"/>
          <w:b/>
          <w:i w:val="0"/>
          <w:sz w:val="22"/>
        </w:rPr>
        <w:t xml:space="preserve">4.7 Conflict of interest. </w:t>
      </w:r>
      <w:r>
        <w:rPr>
          <w:rFonts w:ascii="Calibri" w:hAnsi="Calibri"/>
          <w:b w:val="0"/>
          <w:i w:val="0"/>
          <w:sz w:val="22"/>
        </w:rPr>
        <w:t>The Consultant represents that, as on the Effective Date, no conflict of interest exists between its engagements and the Services. The Consultant shall, within five (5) Working Days of becoming aware of any actual or potential conflict, notify the Company in writing, and the Company may, at its option, (a) waive the conflict in writing; (b) require the Consultant to implement mitigating measures; or (c) terminate this Agreement (or the affected Statement of Work) without liability save for Fees accrued for Services properly rendered up to the date of termination.</w:t>
      </w:r>
    </w:p>
    <w:p>
      <w:pPr>
        <w:spacing w:after="120" w:line="276" w:lineRule="auto"/>
        <w:jc w:val="both"/>
      </w:pPr>
      <w:r>
        <w:rPr>
          <w:rFonts w:ascii="Calibri" w:hAnsi="Calibri"/>
          <w:b/>
          <w:i w:val="0"/>
          <w:sz w:val="22"/>
        </w:rPr>
        <w:t xml:space="preserve">4.8 Tax, PF/ESI and statutory-classification indemnity. </w:t>
      </w:r>
      <w:r>
        <w:rPr>
          <w:rFonts w:ascii="Calibri" w:hAnsi="Calibri"/>
          <w:b w:val="0"/>
          <w:i w:val="0"/>
          <w:sz w:val="22"/>
        </w:rPr>
        <w:t>The Consultant acknowledges and agrees that the Consultant is solely responsible for the discharge of all direct taxes (including income-tax and advance tax), indirect taxes (including GST, subject to Clause 8), and all contributions, dues and statutory obligations payable in respect of the Consultant and the Consultant's own employees, contractors, agents or personnel (including, where applicable, provident fund, employees' state insurance, gratuity, bonus, professional tax, labour welfare fund and contract-labour compliances). The Consultant shall indemnify, defend and hold harmless the Company and its Affiliates, officers, directors and employees from and against any and all claims, demands, assessments, orders, penalties, interest, costs and expenses (including reasonable legal fees) arising out of or in connection with (i) any re-characterisation by any Governmental Authority of the Consultant or its personnel as employees of the Company, (ii) any claim by the Consultant's personnel for employment benefits from the Company, or (iii) any non-payment or short-payment of taxes or statutory dues for which the Consultant is responsible under this Clause 4.8.</w:t>
      </w:r>
    </w:p>
    <w:p>
      <w:pPr>
        <w:pStyle w:val="Heading1"/>
        <w:keepNext/>
        <w:spacing w:before="280" w:after="120"/>
      </w:pPr>
      <w:r>
        <w:rPr>
          <w:rFonts w:ascii="Calibri" w:hAnsi="Calibri"/>
          <w:b/>
          <w:i w:val="0"/>
          <w:color w:val="000000"/>
          <w:sz w:val="26"/>
        </w:rPr>
        <w:t>5. SCOPE OF SERVICES</w:t>
      </w:r>
    </w:p>
    <w:p>
      <w:pPr>
        <w:spacing w:after="120" w:line="276" w:lineRule="auto"/>
        <w:jc w:val="both"/>
      </w:pPr>
      <w:r>
        <w:rPr>
          <w:rFonts w:ascii="Calibri" w:hAnsi="Calibri"/>
          <w:b/>
          <w:i w:val="0"/>
          <w:sz w:val="22"/>
        </w:rPr>
        <w:t xml:space="preserve">5.1 Services. </w:t>
      </w:r>
      <w:r>
        <w:rPr>
          <w:rFonts w:ascii="Calibri" w:hAnsi="Calibri"/>
          <w:b w:val="0"/>
          <w:i w:val="0"/>
          <w:sz w:val="22"/>
        </w:rPr>
        <w:t>The Consultant shall provide the Services described in the Statement(s) of Work agreed between the Parties from time to time in the form set out in Exhibit A. Each SOW, once signed by both Parties, shall be deemed incorporated into, and shall form an integral part of, this Agreement. In the event of any conflict between this Agreement and a SOW, this Agreement shall prevail, save and except in relation to any commercial terms (such as Fees, specific Deliverables and timelines) expressly set out in the SOW.</w:t>
      </w:r>
    </w:p>
    <w:p>
      <w:pPr>
        <w:spacing w:after="120" w:line="276" w:lineRule="auto"/>
        <w:jc w:val="both"/>
      </w:pPr>
      <w:r>
        <w:rPr>
          <w:rFonts w:ascii="Calibri" w:hAnsi="Calibri"/>
          <w:b/>
          <w:i w:val="0"/>
          <w:sz w:val="22"/>
        </w:rPr>
        <w:t xml:space="preserve">5.2 Standard of performance. </w:t>
      </w:r>
      <w:r>
        <w:rPr>
          <w:rFonts w:ascii="Calibri" w:hAnsi="Calibri"/>
          <w:b w:val="0"/>
          <w:i w:val="0"/>
          <w:sz w:val="22"/>
        </w:rPr>
        <w:t>The Consultant shall perform the Services: (a) with due skill, care and diligence, in accordance with professional standards prevailing in the Consultant's field of expertise; (b) in compliance with all Applicable Laws and the Company's reasonable written policies notified to the Consultant; (c) in a timely manner so as to meet the milestones and deadlines specified in the SOW; and (d) in a manner that does not infringe the Intellectual Property or other rights of any Third Party.</w:t>
      </w:r>
    </w:p>
    <w:p>
      <w:pPr>
        <w:spacing w:after="120" w:line="276" w:lineRule="auto"/>
        <w:jc w:val="both"/>
      </w:pPr>
      <w:r>
        <w:rPr>
          <w:rFonts w:ascii="Calibri" w:hAnsi="Calibri"/>
          <w:b/>
          <w:i w:val="0"/>
          <w:sz w:val="22"/>
        </w:rPr>
        <w:t xml:space="preserve">5.3 Key personnel. </w:t>
      </w:r>
      <w:r>
        <w:rPr>
          <w:rFonts w:ascii="Calibri" w:hAnsi="Calibri"/>
          <w:b w:val="0"/>
          <w:i w:val="0"/>
          <w:sz w:val="22"/>
        </w:rPr>
        <w:t>If the Consultant is not an individual, the Consultant shall identify key personnel in the SOW. The Consultant shall not substitute any key personnel without the prior written consent of the Company, such consent not to be unreasonably withheld. Proposed substitutes shall possess equivalent or superior qualifications and experience.</w:t>
      </w:r>
    </w:p>
    <w:p>
      <w:pPr>
        <w:spacing w:after="120" w:line="276" w:lineRule="auto"/>
        <w:jc w:val="both"/>
      </w:pPr>
      <w:r>
        <w:rPr>
          <w:rFonts w:ascii="Calibri" w:hAnsi="Calibri"/>
          <w:b/>
          <w:i w:val="0"/>
          <w:sz w:val="22"/>
        </w:rPr>
        <w:t xml:space="preserve">5.4 Acceptance. </w:t>
      </w:r>
      <w:r>
        <w:rPr>
          <w:rFonts w:ascii="Calibri" w:hAnsi="Calibri"/>
          <w:b w:val="0"/>
          <w:i w:val="0"/>
          <w:sz w:val="22"/>
        </w:rPr>
        <w:t>The Company shall, within the acceptance period specified in the SOW (or, if not specified, within fifteen (15) Working Days of delivery), either (i) accept the Deliverable in writing, or (ii) provide written details of any non-conformity with the acceptance criteria. The Consultant shall rectify notified non-conformities at no additional cost within a reasonable period. A Deliverable shall be deemed accepted if the Company fails to respond within the acceptance period, or puts the Deliverable into productive use.</w:t>
      </w:r>
    </w:p>
    <w:p>
      <w:pPr>
        <w:pStyle w:val="Heading1"/>
        <w:keepNext/>
        <w:spacing w:before="280" w:after="120"/>
      </w:pPr>
      <w:r>
        <w:rPr>
          <w:rFonts w:ascii="Calibri" w:hAnsi="Calibri"/>
          <w:b/>
          <w:i w:val="0"/>
          <w:color w:val="000000"/>
          <w:sz w:val="26"/>
        </w:rPr>
        <w:t>6. TERM AND TERMINATION</w:t>
      </w:r>
    </w:p>
    <w:p>
      <w:pPr>
        <w:spacing w:after="120" w:line="276" w:lineRule="auto"/>
        <w:jc w:val="both"/>
      </w:pPr>
      <w:r>
        <w:rPr>
          <w:rFonts w:ascii="Calibri" w:hAnsi="Calibri"/>
          <w:b/>
          <w:i w:val="0"/>
          <w:sz w:val="22"/>
        </w:rPr>
        <w:t xml:space="preserve">6.1 Term. </w:t>
      </w:r>
      <w:r>
        <w:rPr>
          <w:rFonts w:ascii="Calibri" w:hAnsi="Calibri"/>
          <w:b w:val="0"/>
          <w:i w:val="0"/>
          <w:sz w:val="22"/>
        </w:rPr>
        <w:t>This Agreement shall commence on the Effective Date and, unless terminated earlier in accordance with this Clause 6, shall continue for an initial period of [TERM — e.g., twelve (12) months] (the “Initial Term”), and thereafter shall automatically renew for successive periods of [RENEWAL PERIOD] each, unless either Party gives the other not less than thirty (30) days' prior written notice of non-renewal (the Initial Term together with all renewals being the “Term”).</w:t>
      </w:r>
    </w:p>
    <w:p>
      <w:pPr>
        <w:spacing w:after="120" w:line="276" w:lineRule="auto"/>
        <w:jc w:val="both"/>
      </w:pPr>
      <w:r>
        <w:rPr>
          <w:rFonts w:ascii="Calibri" w:hAnsi="Calibri"/>
          <w:b/>
          <w:i w:val="0"/>
          <w:sz w:val="22"/>
        </w:rPr>
        <w:t xml:space="preserve">6.2 Termination for convenience. </w:t>
      </w:r>
      <w:r>
        <w:rPr>
          <w:rFonts w:ascii="Calibri" w:hAnsi="Calibri"/>
          <w:b w:val="0"/>
          <w:i w:val="0"/>
          <w:sz w:val="22"/>
        </w:rPr>
        <w:t>Either Party may terminate this Agreement, or any Statement of Work, for convenience by giving the other Party not less than thirty (30) days' prior written notice.</w:t>
      </w:r>
    </w:p>
    <w:p>
      <w:pPr>
        <w:spacing w:after="120" w:line="276" w:lineRule="auto"/>
        <w:jc w:val="both"/>
      </w:pPr>
      <w:r>
        <w:rPr>
          <w:rFonts w:ascii="Calibri" w:hAnsi="Calibri"/>
          <w:b/>
          <w:i w:val="0"/>
          <w:sz w:val="22"/>
        </w:rPr>
        <w:t xml:space="preserve">6.3 Termination for cause. </w:t>
      </w:r>
      <w:r>
        <w:rPr>
          <w:rFonts w:ascii="Calibri" w:hAnsi="Calibri"/>
          <w:b w:val="0"/>
          <w:i w:val="0"/>
          <w:sz w:val="22"/>
        </w:rPr>
        <w:t>Either Party may terminate this Agreement with immediate effect by written notice if the other Party: (a) commits a material breach of this Agreement and fails to cure such breach within fifteen (15) days of receipt of written notice specifying the breach (or, in the case of non-payment, within seven (7) days); (b) commits a breach that is not capable of cure (including any breach of Clause 9 (Confidentiality), Clause 10 (Intellectual Property) or Clause 11 (Data Protection)); (c) becomes insolvent, makes an assignment for the benefit of creditors, or becomes the subject of any winding-up, insolvency or bankruptcy proceedings under Applicable Laws (including the Insolvency and Bankruptcy Code, 2016); or (d) engages in fraud, wilful misconduct, or any act that brings the other Party into disrepute.</w:t>
      </w:r>
    </w:p>
    <w:p>
      <w:pPr>
        <w:spacing w:after="120" w:line="276" w:lineRule="auto"/>
        <w:jc w:val="both"/>
      </w:pPr>
      <w:r>
        <w:rPr>
          <w:rFonts w:ascii="Calibri" w:hAnsi="Calibri"/>
          <w:b/>
          <w:i w:val="0"/>
          <w:sz w:val="22"/>
        </w:rPr>
        <w:t xml:space="preserve">6.4 Consequences of termination. </w:t>
      </w:r>
      <w:r>
        <w:rPr>
          <w:rFonts w:ascii="Calibri" w:hAnsi="Calibri"/>
          <w:b w:val="0"/>
          <w:i w:val="0"/>
          <w:sz w:val="22"/>
        </w:rPr>
        <w:t>Upon termination or expiry of this Agreement for any reason: (a) the Consultant shall immediately cease the performance of the Services, save where the Company requests continued performance to effect an orderly transition; (b) the Company shall pay the Consultant for Services properly rendered and accepted (and, where applicable, for authorised reimbursable expenses incurred) up to the effective date of termination; (c) the Consultant shall deliver to the Company all Deliverables (whether complete or in-progress), source files, working papers, Company Confidential Information and Company property in the Consultant's possession or control; and (d) the Consultant shall, upon request and at no additional cost, provide up to five (5) Working Days of transition assistance, with any additional transition assistance to be provided at the rates agreed in the SOW.</w:t>
      </w:r>
    </w:p>
    <w:p>
      <w:pPr>
        <w:spacing w:after="120" w:line="276" w:lineRule="auto"/>
        <w:jc w:val="both"/>
      </w:pPr>
      <w:r>
        <w:rPr>
          <w:rFonts w:ascii="Calibri" w:hAnsi="Calibri"/>
          <w:b/>
          <w:i w:val="0"/>
          <w:sz w:val="22"/>
        </w:rPr>
        <w:t xml:space="preserve">6.5 Survival. </w:t>
      </w:r>
      <w:r>
        <w:rPr>
          <w:rFonts w:ascii="Calibri" w:hAnsi="Calibri"/>
          <w:b w:val="0"/>
          <w:i w:val="0"/>
          <w:sz w:val="22"/>
        </w:rPr>
        <w:t>Clauses 3 (Definitions), 4.8 (Tax / Classification Indemnity), 6.4 (Consequences), 6.5 (Survival), 9 (Confidentiality), 10 (Intellectual Property), 11 (Data Protection), 13 (Non-Solicitation), 14 (Representations and Warranties), 15 (Indemnity), 16 (Limitation of Liability), 20 (Dispute Resolution), 21 (Governing Law), and all other provisions which by their nature are intended to survive, shall survive the termination or expiry of this Agreement.</w:t>
      </w:r>
    </w:p>
    <w:p>
      <w:pPr>
        <w:pStyle w:val="Heading1"/>
        <w:keepNext/>
        <w:spacing w:before="280" w:after="120"/>
      </w:pPr>
      <w:r>
        <w:rPr>
          <w:rFonts w:ascii="Calibri" w:hAnsi="Calibri"/>
          <w:b/>
          <w:i w:val="0"/>
          <w:color w:val="000000"/>
          <w:sz w:val="26"/>
        </w:rPr>
        <w:t>7. FEES AND PAYMENT</w:t>
      </w:r>
    </w:p>
    <w:p>
      <w:pPr>
        <w:spacing w:after="120" w:line="276" w:lineRule="auto"/>
        <w:jc w:val="both"/>
      </w:pPr>
      <w:r>
        <w:rPr>
          <w:rFonts w:ascii="Calibri" w:hAnsi="Calibri"/>
          <w:b/>
          <w:i w:val="0"/>
          <w:sz w:val="22"/>
        </w:rPr>
        <w:t xml:space="preserve">7.1 Fees. </w:t>
      </w:r>
      <w:r>
        <w:rPr>
          <w:rFonts w:ascii="Calibri" w:hAnsi="Calibri"/>
          <w:b w:val="0"/>
          <w:i w:val="0"/>
          <w:sz w:val="22"/>
        </w:rPr>
        <w:t>In consideration of the Services rendered and the Deliverables provided (including the assignment of Intellectual Property under Clause 10), the Company shall pay the Consultant the professional Fees specified in the applicable Statement of Work. The Fees shall be (as specified in the SOW) [a fixed lump-sum per Deliverable / a monthly retainer of INR [AMOUNT] / an hourly / daily rate of INR [AMOUNT] per hour / day, subject to the cap set out in the SOW].</w:t>
      </w:r>
    </w:p>
    <w:p>
      <w:pPr>
        <w:spacing w:after="120" w:line="276" w:lineRule="auto"/>
        <w:jc w:val="both"/>
      </w:pPr>
      <w:r>
        <w:rPr>
          <w:rFonts w:ascii="Calibri" w:hAnsi="Calibri"/>
          <w:b/>
          <w:i w:val="0"/>
          <w:sz w:val="22"/>
        </w:rPr>
        <w:t xml:space="preserve">7.2 Invoicing. </w:t>
      </w:r>
      <w:r>
        <w:rPr>
          <w:rFonts w:ascii="Calibri" w:hAnsi="Calibri"/>
          <w:b w:val="0"/>
          <w:i w:val="0"/>
          <w:sz w:val="22"/>
        </w:rPr>
        <w:t>The Consultant shall raise a tax invoice on the Company in respect of Fees due, as per the cadence specified in the SOW (typically monthly in arrears or on completion of a Deliverable). Each invoice shall contain the Consultant's name, address, PAN, GSTIN (if registered), invoice number and date, HSN / SAC code, description of Services, period covered, Fees (exclusive of GST), GST component (if applicable), total amount payable, bank account details, and any such other particulars as may be required under Applicable Laws.</w:t>
      </w:r>
    </w:p>
    <w:p>
      <w:pPr>
        <w:spacing w:after="120" w:line="276" w:lineRule="auto"/>
        <w:jc w:val="both"/>
      </w:pPr>
      <w:r>
        <w:rPr>
          <w:rFonts w:ascii="Calibri" w:hAnsi="Calibri"/>
          <w:b/>
          <w:i w:val="0"/>
          <w:sz w:val="22"/>
        </w:rPr>
        <w:t xml:space="preserve">7.3 GST. </w:t>
      </w:r>
      <w:r>
        <w:rPr>
          <w:rFonts w:ascii="Calibri" w:hAnsi="Calibri"/>
          <w:b w:val="0"/>
          <w:i w:val="0"/>
          <w:sz w:val="22"/>
        </w:rPr>
        <w:t>The Fees are exclusive of Goods and Services Tax. If the Consultant is registered under the Central Goods and Services Tax Act, 2017 and applicable State GST legislations, the Consultant shall charge GST on each invoice at the applicable rate. The Consultant shall (a) ensure timely filing of GST returns and remittance of GST collected; (b) upload invoices such that they are reflected in the Company's GSTR-2A / 2B; and (c) be liable to the Company for any loss of input tax credit arising from the Consultant's default. If the Consultant is not required to be registered under GST legislation, the Consultant shall so state on every invoice, and any reverse-charge liability arising on the Company shall be discharged by the Company in accordance with law.</w:t>
      </w:r>
    </w:p>
    <w:p>
      <w:pPr>
        <w:spacing w:after="120" w:line="276" w:lineRule="auto"/>
        <w:jc w:val="both"/>
      </w:pPr>
      <w:r>
        <w:rPr>
          <w:rFonts w:ascii="Calibri" w:hAnsi="Calibri"/>
          <w:b/>
          <w:i w:val="0"/>
          <w:sz w:val="22"/>
        </w:rPr>
        <w:t xml:space="preserve">7.4 TDS under Section 194J. </w:t>
      </w:r>
      <w:r>
        <w:rPr>
          <w:rFonts w:ascii="Calibri" w:hAnsi="Calibri"/>
          <w:b w:val="0"/>
          <w:i w:val="0"/>
          <w:sz w:val="22"/>
        </w:rPr>
        <w:t>The Company shall deduct tax at source at the rate of ten per cent (10%) on professional fees payable under this Agreement pursuant to Section 194J of the Income-tax Act, 1961 (or at such other rate as may be applicable from time to time, including the rate of two per cent (2%) where the Services qualify as “fees for technical services” and are so taxed, or the rate under Section 194C for works contracts if applicable). The Company shall deposit the tax so deducted with the Central Government within the prescribed time, and issue Form 16A to the Consultant for each quarter. Where the Consultant is a non-resident, tax shall be deducted under Section 195 and the Consultant shall furnish the tax residency certificate (TRC) and Form 10F in advance.</w:t>
      </w:r>
    </w:p>
    <w:p>
      <w:pPr>
        <w:spacing w:after="120" w:line="276" w:lineRule="auto"/>
        <w:jc w:val="both"/>
      </w:pPr>
      <w:r>
        <w:rPr>
          <w:rFonts w:ascii="Calibri" w:hAnsi="Calibri"/>
          <w:b/>
          <w:i w:val="0"/>
          <w:sz w:val="22"/>
        </w:rPr>
        <w:t xml:space="preserve">7.5 Payment terms. </w:t>
      </w:r>
      <w:r>
        <w:rPr>
          <w:rFonts w:ascii="Calibri" w:hAnsi="Calibri"/>
          <w:b w:val="0"/>
          <w:i w:val="0"/>
          <w:sz w:val="22"/>
        </w:rPr>
        <w:t>Subject to Clause 5.4 (Acceptance) and deduction of TDS, the Company shall make payment of undisputed invoices within thirty (30) days of receipt of a valid invoice, by electronic transfer to the Consultant's bank account. Any disputed portion of an invoice shall be notified in writing within fifteen (15) days of receipt of the invoice; undisputed portions shall be paid in full on the due date. Delay in payment of undisputed amounts shall attract interest at the rate of one and a half per cent (1.5%) per month or part thereof.</w:t>
      </w:r>
    </w:p>
    <w:p>
      <w:pPr>
        <w:spacing w:after="120" w:line="276" w:lineRule="auto"/>
        <w:jc w:val="both"/>
      </w:pPr>
      <w:r>
        <w:rPr>
          <w:rFonts w:ascii="Calibri" w:hAnsi="Calibri"/>
          <w:b/>
          <w:i w:val="0"/>
          <w:sz w:val="22"/>
        </w:rPr>
        <w:t xml:space="preserve">7.6 Reimbursable expenses. </w:t>
      </w:r>
      <w:r>
        <w:rPr>
          <w:rFonts w:ascii="Calibri" w:hAnsi="Calibri"/>
          <w:b w:val="0"/>
          <w:i w:val="0"/>
          <w:sz w:val="22"/>
        </w:rPr>
        <w:t>Save as expressly set out in the SOW, the Fees are inclusive of all costs and expenses incurred by the Consultant in performing the Services. Any out-of-pocket expenses (such as pre-approved travel or third-party licences) shall be reimbursed at actuals only if (a) pre-approved in writing by the Company; and (b) supported by original receipts / tax invoices in the name of the Company. Domestic travel shall be in accordance with the Company's travel policy notified to the Consultant.</w:t>
      </w:r>
    </w:p>
    <w:p>
      <w:pPr>
        <w:spacing w:after="120" w:line="276" w:lineRule="auto"/>
        <w:jc w:val="both"/>
      </w:pPr>
      <w:r>
        <w:rPr>
          <w:rFonts w:ascii="Calibri" w:hAnsi="Calibri"/>
          <w:b/>
          <w:i w:val="0"/>
          <w:sz w:val="22"/>
        </w:rPr>
        <w:t xml:space="preserve">7.7 No other consideration. </w:t>
      </w:r>
      <w:r>
        <w:rPr>
          <w:rFonts w:ascii="Calibri" w:hAnsi="Calibri"/>
          <w:b w:val="0"/>
          <w:i w:val="0"/>
          <w:sz w:val="22"/>
        </w:rPr>
        <w:t>The Fees (together with any authorised reimbursable expenses) represent the full and final consideration for all Services rendered and for the assignment of all Foreground IP under Clause 10. The Consultant acknowledges that the royalty contemplated under Section 19 of the Copyright Act, 1957 is included in, and fully discharged by, the Fees.</w:t>
      </w:r>
    </w:p>
    <w:p>
      <w:pPr>
        <w:pStyle w:val="Heading1"/>
        <w:keepNext/>
        <w:spacing w:before="280" w:after="120"/>
      </w:pPr>
      <w:r>
        <w:rPr>
          <w:rFonts w:ascii="Calibri" w:hAnsi="Calibri"/>
          <w:b/>
          <w:i w:val="0"/>
          <w:color w:val="000000"/>
          <w:sz w:val="26"/>
        </w:rPr>
        <w:t>8. CONFIDENTIALITY</w:t>
      </w:r>
    </w:p>
    <w:p>
      <w:pPr>
        <w:spacing w:after="120" w:line="276" w:lineRule="auto"/>
        <w:jc w:val="both"/>
      </w:pPr>
      <w:r>
        <w:rPr>
          <w:rFonts w:ascii="Calibri" w:hAnsi="Calibri"/>
          <w:b/>
          <w:i w:val="0"/>
          <w:sz w:val="22"/>
        </w:rPr>
        <w:t xml:space="preserve">8.1 Obligation. </w:t>
      </w:r>
      <w:r>
        <w:rPr>
          <w:rFonts w:ascii="Calibri" w:hAnsi="Calibri"/>
          <w:b w:val="0"/>
          <w:i w:val="0"/>
          <w:sz w:val="22"/>
        </w:rPr>
        <w:t>The Consultant shall (a) hold all Confidential Information of the Company in strict confidence, with a standard of care no less than that which the Consultant applies to its own confidential information of like importance, and in no event less than reasonable care; (b) use Confidential Information solely for the purpose of performing the Services under this Agreement (the “Permitted Purpose”); (c) not disclose, transmit, make available, reverse-engineer, decompile, reproduce or otherwise use Confidential Information, in whole or in part, except as expressly permitted under this Agreement; and (d) promptly notify the Company of any actual or suspected unauthorised disclosure, loss or access of Confidential Information.</w:t>
      </w:r>
    </w:p>
    <w:p>
      <w:pPr>
        <w:spacing w:after="120" w:line="276" w:lineRule="auto"/>
        <w:jc w:val="both"/>
      </w:pPr>
      <w:r>
        <w:rPr>
          <w:rFonts w:ascii="Calibri" w:hAnsi="Calibri"/>
          <w:b/>
          <w:i w:val="0"/>
          <w:sz w:val="22"/>
        </w:rPr>
        <w:t xml:space="preserve">8.2 Permitted disclosures. </w:t>
      </w:r>
      <w:r>
        <w:rPr>
          <w:rFonts w:ascii="Calibri" w:hAnsi="Calibri"/>
          <w:b w:val="0"/>
          <w:i w:val="0"/>
          <w:sz w:val="22"/>
        </w:rPr>
        <w:t>The Consultant may disclose Confidential Information only to those of its personnel who need to know such information for the Permitted Purpose and who are bound by written confidentiality obligations no less stringent than those contained herein. The Consultant shall remain primarily liable for any breach of confidentiality by its personnel.</w:t>
      </w:r>
    </w:p>
    <w:p>
      <w:pPr>
        <w:spacing w:after="120" w:line="276" w:lineRule="auto"/>
        <w:jc w:val="both"/>
      </w:pPr>
      <w:r>
        <w:rPr>
          <w:rFonts w:ascii="Calibri" w:hAnsi="Calibri"/>
          <w:b/>
          <w:i w:val="0"/>
          <w:sz w:val="22"/>
        </w:rPr>
        <w:t xml:space="preserve">8.3 Exclusions. </w:t>
      </w:r>
      <w:r>
        <w:rPr>
          <w:rFonts w:ascii="Calibri" w:hAnsi="Calibri"/>
          <w:b w:val="0"/>
          <w:i w:val="0"/>
          <w:sz w:val="22"/>
        </w:rPr>
        <w:t>The obligations in this Clause 8 shall not apply to information which the Consultant can demonstrate by contemporaneous written evidence: (a) was already in its possession without a duty of confidentiality prior to disclosure; (b) is or becomes publicly available other than through a breach of this Agreement; (c) is lawfully received from a Third Party without restriction; or (d) is independently developed by the Consultant without use of or reference to any Confidential Information.</w:t>
      </w:r>
    </w:p>
    <w:p>
      <w:pPr>
        <w:spacing w:after="120" w:line="276" w:lineRule="auto"/>
        <w:jc w:val="both"/>
      </w:pPr>
      <w:r>
        <w:rPr>
          <w:rFonts w:ascii="Calibri" w:hAnsi="Calibri"/>
          <w:b/>
          <w:i w:val="0"/>
          <w:sz w:val="22"/>
        </w:rPr>
        <w:t xml:space="preserve">8.4 Compelled disclosure. </w:t>
      </w:r>
      <w:r>
        <w:rPr>
          <w:rFonts w:ascii="Calibri" w:hAnsi="Calibri"/>
          <w:b w:val="0"/>
          <w:i w:val="0"/>
          <w:sz w:val="22"/>
        </w:rPr>
        <w:t>If the Consultant is required by any Governmental Authority, court or by operation of Applicable Laws to disclose Confidential Information, the Consultant shall (a) give the Company prompt prior written notice (where lawfully permissible) to enable the Company to seek a protective order; (b) disclose only so much of the Confidential Information as is strictly required; and (c) cooperate (at the Company's expense) with the Company's efforts to preserve the confidentiality of such information.</w:t>
      </w:r>
    </w:p>
    <w:p>
      <w:pPr>
        <w:spacing w:after="120" w:line="276" w:lineRule="auto"/>
        <w:jc w:val="both"/>
      </w:pPr>
      <w:r>
        <w:rPr>
          <w:rFonts w:ascii="Calibri" w:hAnsi="Calibri"/>
          <w:b/>
          <w:i w:val="0"/>
          <w:sz w:val="22"/>
        </w:rPr>
        <w:t xml:space="preserve">8.5 Return / destruction. </w:t>
      </w:r>
      <w:r>
        <w:rPr>
          <w:rFonts w:ascii="Calibri" w:hAnsi="Calibri"/>
          <w:b w:val="0"/>
          <w:i w:val="0"/>
          <w:sz w:val="22"/>
        </w:rPr>
        <w:t>On the earlier of (a) expiry or termination of this Agreement or the relevant SOW, or (b) written request by the Company, the Consultant shall promptly, and in any event within seven (7) Working Days, return to the Company or (at the Company's option) securely destroy all Confidential Information in its possession or control, including all copies, notes and derivatives, and certify such destruction in writing, save that the Consultant may retain one (1) copy in its legal archives solely to the extent required by Applicable Laws, subject to continuing confidentiality obligations.</w:t>
      </w:r>
    </w:p>
    <w:p>
      <w:pPr>
        <w:spacing w:after="120" w:line="276" w:lineRule="auto"/>
        <w:jc w:val="both"/>
      </w:pPr>
      <w:r>
        <w:rPr>
          <w:rFonts w:ascii="Calibri" w:hAnsi="Calibri"/>
          <w:b/>
          <w:i w:val="0"/>
          <w:sz w:val="22"/>
        </w:rPr>
        <w:t xml:space="preserve">8.6 Survival. </w:t>
      </w:r>
      <w:r>
        <w:rPr>
          <w:rFonts w:ascii="Calibri" w:hAnsi="Calibri"/>
          <w:b w:val="0"/>
          <w:i w:val="0"/>
          <w:sz w:val="22"/>
        </w:rPr>
        <w:t>The obligations in this Clause 8 shall survive termination or expiry of this Agreement for a period of five (5) years, provided that in respect of Confidential Information that constitutes a trade secret under Applicable Laws, the obligations shall survive for so long as the information retains its trade-secret status.</w:t>
      </w:r>
    </w:p>
    <w:p>
      <w:pPr>
        <w:spacing w:after="120" w:line="276" w:lineRule="auto"/>
        <w:jc w:val="both"/>
      </w:pPr>
      <w:r>
        <w:rPr>
          <w:rFonts w:ascii="Calibri" w:hAnsi="Calibri"/>
          <w:b/>
          <w:i w:val="0"/>
          <w:sz w:val="22"/>
        </w:rPr>
        <w:t xml:space="preserve">8.7 Equitable remedies. </w:t>
      </w:r>
      <w:r>
        <w:rPr>
          <w:rFonts w:ascii="Calibri" w:hAnsi="Calibri"/>
          <w:b w:val="0"/>
          <w:i w:val="0"/>
          <w:sz w:val="22"/>
        </w:rPr>
        <w:t>The Parties acknowledge that a breach of this Clause 8 may cause irreparable harm for which monetary damages may be inadequate. Accordingly, the Company shall be entitled to seek interim, interlocutory and permanent injunctive relief and specific performance under the Specific Relief Act, 1963, in addition to all other remedies available at law or in equity.</w:t>
      </w:r>
    </w:p>
    <w:p>
      <w:pPr>
        <w:pStyle w:val="Heading1"/>
        <w:keepNext/>
        <w:spacing w:before="280" w:after="120"/>
      </w:pPr>
      <w:r>
        <w:rPr>
          <w:rFonts w:ascii="Calibri" w:hAnsi="Calibri"/>
          <w:b/>
          <w:i w:val="0"/>
          <w:color w:val="000000"/>
          <w:sz w:val="26"/>
        </w:rPr>
        <w:t>9. INTELLECTUAL PROPERTY</w:t>
      </w:r>
    </w:p>
    <w:p>
      <w:pPr>
        <w:spacing w:before="80" w:after="200"/>
        <w:ind w:left="288" w:right="288"/>
        <w:jc w:val="both"/>
      </w:pPr>
      <w:r>
        <w:rPr>
          <w:rFonts w:ascii="Calibri" w:hAnsi="Calibri"/>
          <w:b/>
          <w:i/>
          <w:color w:val="8B0000"/>
          <w:sz w:val="20"/>
        </w:rPr>
        <w:t>DRAFTING CALLOUT — CRITICAL CLAUSE: This Clause 9 is the single most important provision of this Agreement. Unlike employees, a consultant is engaged on a “contract for services” and, under Section 17(c) of the Copyright Act, 1957 (read with the proviso thereto), copyright in consultant-authored works DOES NOT automatically vest in the engaging entity. Without an express, present-tense assignment compliant with Sections 18 and 19 of the Copyright Act, 1957 (and mirror provisions of the Patents Act, 1970, the Designs Act, 2000 and the Trade Marks Act, 1999), AnantaSutra will not own the Deliverables it has paid for. The clause below is therefore drafted in the present tense (“hereby assigns”), covers all categories of IP, specifies all Section 19 parameters (work, rights, duration, territory and royalty), and includes a waiver of moral rights to the extent permissible in law, a power of attorney and a further-assurances covenant. DO NOT WEAKEN THIS CLAUSE.</w:t>
      </w:r>
    </w:p>
    <w:p>
      <w:pPr>
        <w:spacing w:after="120" w:line="276" w:lineRule="auto"/>
        <w:jc w:val="both"/>
      </w:pPr>
      <w:r>
        <w:rPr>
          <w:rFonts w:ascii="Calibri" w:hAnsi="Calibri"/>
          <w:b/>
          <w:i w:val="0"/>
          <w:sz w:val="22"/>
        </w:rPr>
        <w:t xml:space="preserve">9.1 Present-tense assignment of Foreground IP. </w:t>
      </w:r>
      <w:r>
        <w:rPr>
          <w:rFonts w:ascii="Calibri" w:hAnsi="Calibri"/>
          <w:b w:val="0"/>
          <w:i w:val="0"/>
          <w:sz w:val="22"/>
        </w:rPr>
        <w:t>The Consultant hereby irrevocably, absolutely and unconditionally ASSIGNS and transfers to the Company, with full title guarantee and free from all encumbrances, all right, title and interest (including all Intellectual Property rights, whether existing now or arising in the future) in and to all Deliverables and all Foreground IP, including but not limited to all works, source code, object code, documentation, algorithms, inventions, discoveries, improvements, designs, drawings, data, databases, reports, photographs, audio-visual works, trade marks, trade dress and other materials created, conceived, developed or first reduced to practice by the Consultant (alone or jointly) in the course of, arising out of, or in connection with the performance of the Services. This assignment operates as a present assignment of all such Foreground IP created after the Effective Date, effective automatically upon the coming into existence of the relevant work or right, without the need for any further act, deed or instrument.</w:t>
      </w:r>
    </w:p>
    <w:p>
      <w:pPr>
        <w:spacing w:after="120" w:line="276" w:lineRule="auto"/>
        <w:jc w:val="both"/>
      </w:pPr>
      <w:r>
        <w:rPr>
          <w:rFonts w:ascii="Calibri" w:hAnsi="Calibri"/>
          <w:b/>
          <w:i w:val="0"/>
          <w:sz w:val="22"/>
        </w:rPr>
        <w:t xml:space="preserve">9.2 Section 19 parameters (Copyright Act, 1957). </w:t>
      </w:r>
      <w:r>
        <w:rPr>
          <w:rFonts w:ascii="Calibri" w:hAnsi="Calibri"/>
          <w:b w:val="0"/>
          <w:i w:val="0"/>
          <w:sz w:val="22"/>
        </w:rPr>
        <w:t>In satisfaction of the requirements of Sections 18 and 19 of the Copyright Act, 1957, the Parties expressly record:</w:t>
      </w:r>
    </w:p>
    <w:p>
      <w:pPr>
        <w:spacing w:after="80" w:line="276" w:lineRule="auto"/>
        <w:ind w:left="576"/>
        <w:jc w:val="both"/>
      </w:pPr>
      <w:r>
        <w:rPr>
          <w:rFonts w:ascii="Calibri" w:hAnsi="Calibri"/>
          <w:b/>
          <w:i w:val="0"/>
          <w:sz w:val="22"/>
        </w:rPr>
        <w:t xml:space="preserve">(a) </w:t>
      </w:r>
      <w:r>
        <w:rPr>
          <w:rFonts w:ascii="Calibri" w:hAnsi="Calibri"/>
          <w:b w:val="0"/>
          <w:i w:val="0"/>
          <w:sz w:val="22"/>
        </w:rPr>
        <w:t>Identification of the work: all copyrightable works comprised in the Deliverables and Foreground IP, including all literary works (including computer programs), artistic works, dramatic works, musical works, sound recordings and cinematograph films created by the Consultant in the course of the Services.</w:t>
      </w:r>
    </w:p>
    <w:p>
      <w:pPr>
        <w:spacing w:after="80" w:line="276" w:lineRule="auto"/>
        <w:ind w:left="576"/>
        <w:jc w:val="both"/>
      </w:pPr>
      <w:r>
        <w:rPr>
          <w:rFonts w:ascii="Calibri" w:hAnsi="Calibri"/>
          <w:b/>
          <w:i w:val="0"/>
          <w:sz w:val="22"/>
        </w:rPr>
        <w:t xml:space="preserve">(b) </w:t>
      </w:r>
      <w:r>
        <w:rPr>
          <w:rFonts w:ascii="Calibri" w:hAnsi="Calibri"/>
          <w:b w:val="0"/>
          <w:i w:val="0"/>
          <w:sz w:val="22"/>
        </w:rPr>
        <w:t>Rights assigned: all economic rights recognised under the Copyright Act, 1957, including the rights under Section 14 of the Copyright Act, 1957, and all corresponding rights under the Patents Act, 1970, the Designs Act, 2000, the Trade Marks Act, 1999, the Semiconductor Integrated Circuits Layout-Design Act, 2000, the Protection of Plant Varieties and Farmers' Rights Act, 2001, and any corresponding or analogous laws anywhere in the world.</w:t>
      </w:r>
    </w:p>
    <w:p>
      <w:pPr>
        <w:spacing w:after="80" w:line="276" w:lineRule="auto"/>
        <w:ind w:left="576"/>
        <w:jc w:val="both"/>
      </w:pPr>
      <w:r>
        <w:rPr>
          <w:rFonts w:ascii="Calibri" w:hAnsi="Calibri"/>
          <w:b/>
          <w:i w:val="0"/>
          <w:sz w:val="22"/>
        </w:rPr>
        <w:t xml:space="preserve">(c) </w:t>
      </w:r>
      <w:r>
        <w:rPr>
          <w:rFonts w:ascii="Calibri" w:hAnsi="Calibri"/>
          <w:b w:val="0"/>
          <w:i w:val="0"/>
          <w:sz w:val="22"/>
        </w:rPr>
        <w:t>Duration: the entire term of protection afforded to the relevant Intellectual Property under Applicable Laws, including all renewals, revivals and extensions thereof.</w:t>
      </w:r>
    </w:p>
    <w:p>
      <w:pPr>
        <w:spacing w:after="80" w:line="276" w:lineRule="auto"/>
        <w:ind w:left="576"/>
        <w:jc w:val="both"/>
      </w:pPr>
      <w:r>
        <w:rPr>
          <w:rFonts w:ascii="Calibri" w:hAnsi="Calibri"/>
          <w:b/>
          <w:i w:val="0"/>
          <w:sz w:val="22"/>
        </w:rPr>
        <w:t xml:space="preserve">(d) </w:t>
      </w:r>
      <w:r>
        <w:rPr>
          <w:rFonts w:ascii="Calibri" w:hAnsi="Calibri"/>
          <w:b w:val="0"/>
          <w:i w:val="0"/>
          <w:sz w:val="22"/>
        </w:rPr>
        <w:t>Territory: worldwide, without limitation.</w:t>
      </w:r>
    </w:p>
    <w:p>
      <w:pPr>
        <w:spacing w:after="80" w:line="276" w:lineRule="auto"/>
        <w:ind w:left="576"/>
        <w:jc w:val="both"/>
      </w:pPr>
      <w:r>
        <w:rPr>
          <w:rFonts w:ascii="Calibri" w:hAnsi="Calibri"/>
          <w:b/>
          <w:i w:val="0"/>
          <w:sz w:val="22"/>
        </w:rPr>
        <w:t xml:space="preserve">(e) </w:t>
      </w:r>
      <w:r>
        <w:rPr>
          <w:rFonts w:ascii="Calibri" w:hAnsi="Calibri"/>
          <w:b w:val="0"/>
          <w:i w:val="0"/>
          <w:sz w:val="22"/>
        </w:rPr>
        <w:t>Royalty / consideration: the Fees payable under this Agreement are agreed by the Parties to be inclusive of, and to fully discharge, any royalty that would otherwise be payable in respect of this assignment. The Consultant hereby acknowledges receipt of consideration for the assignment and waives any claim to further royalty under Section 19(3) of the Copyright Act, 1957.</w:t>
      </w:r>
    </w:p>
    <w:p>
      <w:pPr>
        <w:spacing w:after="80" w:line="276" w:lineRule="auto"/>
        <w:ind w:left="576"/>
        <w:jc w:val="both"/>
      </w:pPr>
      <w:r>
        <w:rPr>
          <w:rFonts w:ascii="Calibri" w:hAnsi="Calibri"/>
          <w:b/>
          <w:i w:val="0"/>
          <w:sz w:val="22"/>
        </w:rPr>
        <w:t xml:space="preserve">(f) </w:t>
      </w:r>
      <w:r>
        <w:rPr>
          <w:rFonts w:ascii="Calibri" w:hAnsi="Calibri"/>
          <w:b w:val="0"/>
          <w:i w:val="0"/>
          <w:sz w:val="22"/>
        </w:rPr>
        <w:t>Reversion: the Consultant expressly waives any right of reversion under Section 19(4) and Section 19A of the Copyright Act, 1957, to the maximum extent permissible in law.</w:t>
      </w:r>
    </w:p>
    <w:p>
      <w:pPr>
        <w:spacing w:after="120" w:line="276" w:lineRule="auto"/>
        <w:jc w:val="both"/>
      </w:pPr>
      <w:r>
        <w:rPr>
          <w:rFonts w:ascii="Calibri" w:hAnsi="Calibri"/>
          <w:b/>
          <w:i w:val="0"/>
          <w:sz w:val="22"/>
        </w:rPr>
        <w:t xml:space="preserve">9.3 Waiver of moral rights. </w:t>
      </w:r>
      <w:r>
        <w:rPr>
          <w:rFonts w:ascii="Calibri" w:hAnsi="Calibri"/>
          <w:b w:val="0"/>
          <w:i w:val="0"/>
          <w:sz w:val="22"/>
        </w:rPr>
        <w:t>The Consultant hereby waives, to the maximum extent permissible under Section 57 of the Copyright Act, 1957 and any analogous legislation anywhere in the world, all moral rights, rights of paternity, rights of integrity, rights of attribution and rights against false attribution in respect of the Deliverables and Foreground IP, and undertakes not to assert any such rights against the Company, its Affiliates, licensees, successors or assigns. The Consultant acknowledges that the right against “distortion, mutilation, modification or other act in relation to the said work which would be prejudicial to [the author's] honour or reputation” may not be fully waivable under Indian law, and such carve-out is expressly recognised.</w:t>
      </w:r>
    </w:p>
    <w:p>
      <w:pPr>
        <w:spacing w:after="120" w:line="276" w:lineRule="auto"/>
        <w:jc w:val="both"/>
      </w:pPr>
      <w:r>
        <w:rPr>
          <w:rFonts w:ascii="Calibri" w:hAnsi="Calibri"/>
          <w:b/>
          <w:i w:val="0"/>
          <w:sz w:val="22"/>
        </w:rPr>
        <w:t xml:space="preserve">9.4 Power of attorney. </w:t>
      </w:r>
      <w:r>
        <w:rPr>
          <w:rFonts w:ascii="Calibri" w:hAnsi="Calibri"/>
          <w:b w:val="0"/>
          <w:i w:val="0"/>
          <w:sz w:val="22"/>
        </w:rPr>
        <w:t>The Consultant hereby irrevocably appoints the Company (and its duly authorised officers) as its attorney-in-fact, coupled with interest, with full power to execute, deliver, file and record any and all documents, applications, declarations, assignments and forms, and to do any and all acts and things, that the Company reasonably considers necessary or desirable to apply for, prosecute, obtain, maintain, defend, enforce, perfect or record the Company's ownership of the Foreground IP anywhere in the world (including filings before the Indian Patent Office, Copyright Office, Trade Marks Registry, Designs Office and any equivalent foreign authority). This power of attorney is granted for consideration, is irrevocable, and shall survive termination of this Agreement.</w:t>
      </w:r>
    </w:p>
    <w:p>
      <w:pPr>
        <w:spacing w:after="120" w:line="276" w:lineRule="auto"/>
        <w:jc w:val="both"/>
      </w:pPr>
      <w:r>
        <w:rPr>
          <w:rFonts w:ascii="Calibri" w:hAnsi="Calibri"/>
          <w:b/>
          <w:i w:val="0"/>
          <w:sz w:val="22"/>
        </w:rPr>
        <w:t xml:space="preserve">9.5 Further assurances. </w:t>
      </w:r>
      <w:r>
        <w:rPr>
          <w:rFonts w:ascii="Calibri" w:hAnsi="Calibri"/>
          <w:b w:val="0"/>
          <w:i w:val="0"/>
          <w:sz w:val="22"/>
        </w:rPr>
        <w:t>The Consultant shall, at the Company's reasonable written request and at the Company's cost, promptly execute such further documents, instruments of assignment, declarations, affidavits and powers, and do such further acts, as may be required to vest, perfect, record, protect or enforce the Company's ownership of the Foreground IP. This obligation shall survive termination of this Agreement.</w:t>
      </w:r>
    </w:p>
    <w:p>
      <w:pPr>
        <w:spacing w:after="120" w:line="276" w:lineRule="auto"/>
        <w:jc w:val="both"/>
      </w:pPr>
      <w:r>
        <w:rPr>
          <w:rFonts w:ascii="Calibri" w:hAnsi="Calibri"/>
          <w:b/>
          <w:i w:val="0"/>
          <w:sz w:val="22"/>
        </w:rPr>
        <w:t xml:space="preserve">9.6 Background IP. </w:t>
      </w:r>
      <w:r>
        <w:rPr>
          <w:rFonts w:ascii="Calibri" w:hAnsi="Calibri"/>
          <w:b w:val="0"/>
          <w:i w:val="0"/>
          <w:sz w:val="22"/>
        </w:rPr>
        <w:t>Each Party shall retain all right, title and interest in and to its respective Background IP. The Consultant's Background IP as on the Effective Date is set out in Exhibit B. The Consultant shall not incorporate any Background IP (of the Consultant or of any Third Party) into a Deliverable without prior written disclosure to, and consent of, the Company. To the extent any Consultant Background IP is incorporated into, or is reasonably necessary to use, a Deliverable, the Consultant hereby grants to the Company and its Affiliates a perpetual, irrevocable, worldwide, royalty-free, fully paid-up, non-exclusive licence (with the right to sub-licence through multiple tiers) to use, reproduce, modify, create derivative works of, distribute, sub-licence, and otherwise exploit such Background IP solely in connection with the Deliverable and the business of the Company.</w:t>
      </w:r>
    </w:p>
    <w:p>
      <w:pPr>
        <w:spacing w:after="120" w:line="276" w:lineRule="auto"/>
        <w:jc w:val="both"/>
      </w:pPr>
      <w:r>
        <w:rPr>
          <w:rFonts w:ascii="Calibri" w:hAnsi="Calibri"/>
          <w:b/>
          <w:i w:val="0"/>
          <w:sz w:val="22"/>
        </w:rPr>
        <w:t xml:space="preserve">9.7 Open-source and third-party components. </w:t>
      </w:r>
      <w:r>
        <w:rPr>
          <w:rFonts w:ascii="Calibri" w:hAnsi="Calibri"/>
          <w:b w:val="0"/>
          <w:i w:val="0"/>
          <w:sz w:val="22"/>
        </w:rPr>
        <w:t>The Consultant shall not incorporate any open-source software or Third-Party Intellectual Property into any Deliverable without prior written disclosure to, and consent of, the Company. The Consultant shall provide a complete bill of materials for each Deliverable, identifying every open-source or third-party component, its version and its licence. The Consultant shall not use any component licensed under the GNU Affero General Public License (AGPL), the Server Side Public License (SSPL), or any other licence with “copyleft” effect that could require the licensing or disclosure of the Company's proprietary source code, without prior written consent of the Company.</w:t>
      </w:r>
    </w:p>
    <w:p>
      <w:pPr>
        <w:spacing w:after="120" w:line="276" w:lineRule="auto"/>
        <w:jc w:val="both"/>
      </w:pPr>
      <w:r>
        <w:rPr>
          <w:rFonts w:ascii="Calibri" w:hAnsi="Calibri"/>
          <w:b/>
          <w:i w:val="0"/>
          <w:sz w:val="22"/>
        </w:rPr>
        <w:t xml:space="preserve">9.8 Warranty of originality and non-infringement. </w:t>
      </w:r>
      <w:r>
        <w:rPr>
          <w:rFonts w:ascii="Calibri" w:hAnsi="Calibri"/>
          <w:b w:val="0"/>
          <w:i w:val="0"/>
          <w:sz w:val="22"/>
        </w:rPr>
        <w:t>The Consultant represents and warrants that: (a) the Deliverables and Foreground IP shall be original works of the Consultant, save for portions expressly disclosed and permitted under Clauses 9.6 and 9.7; (b) the Consultant has full right, title and authority to make the assignments and grants under this Clause 9; (c) the Deliverables, and the Company's use thereof as contemplated by this Agreement, shall not infringe or misappropriate any Intellectual Property, privacy, publicity or other right of any Third Party; and (d) the Consultant has not assigned, licensed, encumbered or otherwise committed to any Third Party any right that would conflict with the rights granted to the Company under this Agreement.</w:t>
      </w:r>
    </w:p>
    <w:p>
      <w:pPr>
        <w:pStyle w:val="Heading1"/>
        <w:keepNext/>
        <w:spacing w:before="280" w:after="120"/>
      </w:pPr>
      <w:r>
        <w:rPr>
          <w:rFonts w:ascii="Calibri" w:hAnsi="Calibri"/>
          <w:b/>
          <w:i w:val="0"/>
          <w:color w:val="000000"/>
          <w:sz w:val="26"/>
        </w:rPr>
        <w:t>10. DATA PROTECTION</w:t>
      </w:r>
    </w:p>
    <w:p>
      <w:pPr>
        <w:spacing w:after="120" w:line="276" w:lineRule="auto"/>
        <w:jc w:val="both"/>
      </w:pPr>
      <w:r>
        <w:rPr>
          <w:rFonts w:ascii="Calibri" w:hAnsi="Calibri"/>
          <w:b/>
          <w:i w:val="0"/>
          <w:sz w:val="22"/>
        </w:rPr>
        <w:t xml:space="preserve">10.1 Applicability. </w:t>
      </w:r>
      <w:r>
        <w:rPr>
          <w:rFonts w:ascii="Calibri" w:hAnsi="Calibri"/>
          <w:b w:val="0"/>
          <w:i w:val="0"/>
          <w:sz w:val="22"/>
        </w:rPr>
        <w:t>Where, in the course of providing the Services, the Consultant processes Personal Data on behalf of the Company, the Company shall be the Data Fiduciary and the Consultant shall be a Data Processor (as defined under the DPDP Act). The terms of this Clause 10 are supplemental to, and shall be read together with, any data processing agreement executed between the Parties pursuant to Section 8(5) of the DPDP Act.</w:t>
      </w:r>
    </w:p>
    <w:p>
      <w:pPr>
        <w:spacing w:after="120" w:line="276" w:lineRule="auto"/>
        <w:jc w:val="both"/>
      </w:pPr>
      <w:r>
        <w:rPr>
          <w:rFonts w:ascii="Calibri" w:hAnsi="Calibri"/>
          <w:b/>
          <w:i w:val="0"/>
          <w:sz w:val="22"/>
        </w:rPr>
        <w:t xml:space="preserve">10.2 Processor obligations. </w:t>
      </w:r>
      <w:r>
        <w:rPr>
          <w:rFonts w:ascii="Calibri" w:hAnsi="Calibri"/>
          <w:b w:val="0"/>
          <w:i w:val="0"/>
          <w:sz w:val="22"/>
        </w:rPr>
        <w:t>The Consultant shall: (a) process Personal Data only on the documented instructions of the Company and for the purposes specified in the SOW; (b) implement and maintain reasonable technical and organisational security safeguards (including encryption, access controls, logging and personnel training) commensurate with the nature, scope, and risk of processing; (c) ensure that personnel authorised to process Personal Data are bound by confidentiality obligations; (d) not engage any sub-processor without the prior written consent of the Company, and shall flow down all obligations of this Clause 10 to such sub-processor; (e) assist the Company with responses to requests from Data Principals and with compliance with the Company's obligations under the DPDP Act; (f) notify the Company of any personal data breach, without undue delay and in any event within twenty-four (24) hours of becoming aware, with sufficient detail to enable the Company to notify the Data Protection Board of India within the statutorily prescribed timeline; and (g) upon termination or on request, return or securely erase all Personal Data (including copies) in its possession.</w:t>
      </w:r>
    </w:p>
    <w:p>
      <w:pPr>
        <w:spacing w:after="120" w:line="276" w:lineRule="auto"/>
        <w:jc w:val="both"/>
      </w:pPr>
      <w:r>
        <w:rPr>
          <w:rFonts w:ascii="Calibri" w:hAnsi="Calibri"/>
          <w:b/>
          <w:i w:val="0"/>
          <w:sz w:val="22"/>
        </w:rPr>
        <w:t xml:space="preserve">10.3 IT Act compliance. </w:t>
      </w:r>
      <w:r>
        <w:rPr>
          <w:rFonts w:ascii="Calibri" w:hAnsi="Calibri"/>
          <w:b w:val="0"/>
          <w:i w:val="0"/>
          <w:sz w:val="22"/>
        </w:rPr>
        <w:t>The Consultant shall, in addition, comply with the Information Technology Act, 2000 and the rules made thereunder, including the Information Technology (Reasonable Security Practices and Procedures and Sensitive Personal Data or Information) Rules, 2011, to the extent applicable.</w:t>
      </w:r>
    </w:p>
    <w:p>
      <w:pPr>
        <w:spacing w:after="120" w:line="276" w:lineRule="auto"/>
        <w:jc w:val="both"/>
      </w:pPr>
      <w:r>
        <w:rPr>
          <w:rFonts w:ascii="Calibri" w:hAnsi="Calibri"/>
          <w:b/>
          <w:i w:val="0"/>
          <w:sz w:val="22"/>
        </w:rPr>
        <w:t xml:space="preserve">10.4 Cross-border transfers. </w:t>
      </w:r>
      <w:r>
        <w:rPr>
          <w:rFonts w:ascii="Calibri" w:hAnsi="Calibri"/>
          <w:b w:val="0"/>
          <w:i w:val="0"/>
          <w:sz w:val="22"/>
        </w:rPr>
        <w:t>The Consultant shall not transfer Personal Data outside India except in compliance with the DPDP Act and only with the prior written consent of the Company.</w:t>
      </w:r>
    </w:p>
    <w:p>
      <w:pPr>
        <w:pStyle w:val="Heading1"/>
        <w:keepNext/>
        <w:spacing w:before="280" w:after="120"/>
      </w:pPr>
      <w:r>
        <w:rPr>
          <w:rFonts w:ascii="Calibri" w:hAnsi="Calibri"/>
          <w:b/>
          <w:i w:val="0"/>
          <w:color w:val="000000"/>
          <w:sz w:val="26"/>
        </w:rPr>
        <w:t>11. REPRESENTATIONS AND WARRANTIES</w:t>
      </w:r>
    </w:p>
    <w:p>
      <w:pPr>
        <w:spacing w:after="120" w:line="276" w:lineRule="auto"/>
        <w:jc w:val="both"/>
      </w:pPr>
      <w:r>
        <w:rPr>
          <w:rFonts w:ascii="Calibri" w:hAnsi="Calibri"/>
          <w:b/>
          <w:i w:val="0"/>
          <w:sz w:val="22"/>
        </w:rPr>
        <w:t xml:space="preserve">11.1 Mutual representations. </w:t>
      </w:r>
      <w:r>
        <w:rPr>
          <w:rFonts w:ascii="Calibri" w:hAnsi="Calibri"/>
          <w:b w:val="0"/>
          <w:i w:val="0"/>
          <w:sz w:val="22"/>
        </w:rPr>
        <w:t>Each Party represents and warrants to the other that: (a) it has full power, capacity and authority to enter into and perform this Agreement; (b) the execution, delivery and performance of this Agreement have been duly authorised by all necessary corporate or personal action; (c) this Agreement constitutes its legal, valid and binding obligation, enforceable against it in accordance with its terms; and (d) the execution and performance of this Agreement does not and will not violate any Applicable Laws or any contractual or other obligation owed to any Third Party.</w:t>
      </w:r>
    </w:p>
    <w:p>
      <w:pPr>
        <w:spacing w:after="120" w:line="276" w:lineRule="auto"/>
        <w:jc w:val="both"/>
      </w:pPr>
      <w:r>
        <w:rPr>
          <w:rFonts w:ascii="Calibri" w:hAnsi="Calibri"/>
          <w:b/>
          <w:i w:val="0"/>
          <w:sz w:val="22"/>
        </w:rPr>
        <w:t xml:space="preserve">11.2 Consultant representations. </w:t>
      </w:r>
      <w:r>
        <w:rPr>
          <w:rFonts w:ascii="Calibri" w:hAnsi="Calibri"/>
          <w:b w:val="0"/>
          <w:i w:val="0"/>
          <w:sz w:val="22"/>
        </w:rPr>
        <w:t>The Consultant additionally represents and warrants that: (a) it possesses the requisite qualifications, skill, experience and resources to perform the Services to a professional standard; (b) it is not bound by any non-compete, confidentiality, or other restriction that would prevent or restrict performance of the Services; (c) it shall perform the Services in compliance with all Applicable Laws, including anti-bribery and anti-corruption laws (including the Prevention of Corruption Act, 1988), sanctions laws, anti-money-laundering laws, and applicable labour laws in respect of its own personnel; (d) it is not disqualified or debarred from rendering the Services; and (e) it shall maintain all licences, registrations and approvals required for rendering the Services.</w:t>
      </w:r>
    </w:p>
    <w:p>
      <w:pPr>
        <w:pStyle w:val="Heading1"/>
        <w:keepNext/>
        <w:spacing w:before="280" w:after="120"/>
      </w:pPr>
      <w:r>
        <w:rPr>
          <w:rFonts w:ascii="Calibri" w:hAnsi="Calibri"/>
          <w:b/>
          <w:i w:val="0"/>
          <w:color w:val="000000"/>
          <w:sz w:val="26"/>
        </w:rPr>
        <w:t>12. NON-SOLICITATION</w:t>
      </w:r>
    </w:p>
    <w:p>
      <w:pPr>
        <w:spacing w:after="120" w:line="276" w:lineRule="auto"/>
        <w:jc w:val="both"/>
      </w:pPr>
      <w:r>
        <w:rPr>
          <w:rFonts w:ascii="Calibri" w:hAnsi="Calibri"/>
          <w:b/>
          <w:i w:val="0"/>
          <w:sz w:val="22"/>
        </w:rPr>
        <w:t xml:space="preserve">12.1 Non-solicitation of personnel. </w:t>
      </w:r>
      <w:r>
        <w:rPr>
          <w:rFonts w:ascii="Calibri" w:hAnsi="Calibri"/>
          <w:b w:val="0"/>
          <w:i w:val="0"/>
          <w:sz w:val="22"/>
        </w:rPr>
        <w:t>During the Term and for a period of twelve (12) months thereafter, the Consultant shall not, directly or indirectly, solicit for employment or engagement, or induce to leave the Company, any employee or consultant of the Company with whom the Consultant had material dealings during the Term; provided that a general advertisement not targeted at the Company's personnel, and the hiring of any person who responds thereto without any other targeted solicitation, shall not constitute a breach of this Clause 12.1.</w:t>
      </w:r>
    </w:p>
    <w:p>
      <w:pPr>
        <w:spacing w:after="120" w:line="276" w:lineRule="auto"/>
        <w:jc w:val="both"/>
      </w:pPr>
      <w:r>
        <w:rPr>
          <w:rFonts w:ascii="Calibri" w:hAnsi="Calibri"/>
          <w:b/>
          <w:i w:val="0"/>
          <w:sz w:val="22"/>
        </w:rPr>
        <w:t xml:space="preserve">12.2 Non-solicitation of customers. </w:t>
      </w:r>
      <w:r>
        <w:rPr>
          <w:rFonts w:ascii="Calibri" w:hAnsi="Calibri"/>
          <w:b w:val="0"/>
          <w:i w:val="0"/>
          <w:sz w:val="22"/>
        </w:rPr>
        <w:t>During the Term and for a period of twelve (12) months thereafter, the Consultant shall not, directly or indirectly, solicit any customer, prospect or business partner of the Company with whom the Consultant had dealings or learned Confidential Information, for the purpose of diverting business away from the Company.</w:t>
      </w:r>
    </w:p>
    <w:p>
      <w:pPr>
        <w:spacing w:after="120" w:line="276" w:lineRule="auto"/>
        <w:jc w:val="both"/>
      </w:pPr>
      <w:r>
        <w:rPr>
          <w:rFonts w:ascii="Calibri" w:hAnsi="Calibri"/>
          <w:b/>
          <w:i w:val="0"/>
          <w:sz w:val="22"/>
        </w:rPr>
        <w:t xml:space="preserve">12.3 Section 27 acknowledgment. </w:t>
      </w:r>
      <w:r>
        <w:rPr>
          <w:rFonts w:ascii="Calibri" w:hAnsi="Calibri"/>
          <w:b w:val="0"/>
          <w:i w:val="0"/>
          <w:sz w:val="22"/>
        </w:rPr>
        <w:t>The Parties confirm that the restrictions in this Clause 12 are reasonable, necessary to protect the legitimate business interests of the Company, and are not in unreasonable restraint of trade within the meaning of Section 27 of the Indian Contract Act, 1872. The Parties expressly record that no post-engagement non-compete obligation is imposed on the Consultant.</w:t>
      </w:r>
    </w:p>
    <w:p>
      <w:pPr>
        <w:pStyle w:val="Heading1"/>
        <w:keepNext/>
        <w:spacing w:before="280" w:after="120"/>
      </w:pPr>
      <w:r>
        <w:rPr>
          <w:rFonts w:ascii="Calibri" w:hAnsi="Calibri"/>
          <w:b/>
          <w:i w:val="0"/>
          <w:color w:val="000000"/>
          <w:sz w:val="26"/>
        </w:rPr>
        <w:t>13. INDEMNITY</w:t>
      </w:r>
    </w:p>
    <w:p>
      <w:pPr>
        <w:spacing w:after="120" w:line="276" w:lineRule="auto"/>
        <w:jc w:val="both"/>
      </w:pPr>
      <w:r>
        <w:rPr>
          <w:rFonts w:ascii="Calibri" w:hAnsi="Calibri"/>
          <w:b/>
          <w:i w:val="0"/>
          <w:sz w:val="22"/>
        </w:rPr>
        <w:t xml:space="preserve">13.1 Consultant indemnity. </w:t>
      </w:r>
      <w:r>
        <w:rPr>
          <w:rFonts w:ascii="Calibri" w:hAnsi="Calibri"/>
          <w:b w:val="0"/>
          <w:i w:val="0"/>
          <w:sz w:val="22"/>
        </w:rPr>
        <w:t>The Consultant shall indemnify, defend and hold harmless the Company, its Affiliates and their respective directors, officers, employees, agents and successors (the “Company Indemnitees”) from and against any and all claims, demands, suits, proceedings, liabilities, losses, damages, penalties, fines, costs and expenses (including reasonable legal fees) (collectively, “Losses”) incurred by the Company Indemnitees arising out of or in connection with: (a) any breach by the Consultant of Clauses 8 (Confidentiality), 9 (Intellectual Property), 10 (Data Protection), 11 (Representations and Warranties) or 12 (Non-Solicitation); (b) any claim that the Deliverables or Foreground IP infringe, misappropriate or violate any Intellectual Property or other right of any Third Party; (c) any bodily injury (including death) to, or damage to property of, any person caused by the Consultant or its personnel; (d) any claim, assessment or proceeding arising under Clause 4.8 (tax / classification indemnity); and (e) any gross negligence, wilful misconduct or fraud of the Consultant or its personnel.</w:t>
      </w:r>
    </w:p>
    <w:p>
      <w:pPr>
        <w:spacing w:after="120" w:line="276" w:lineRule="auto"/>
        <w:jc w:val="both"/>
      </w:pPr>
      <w:r>
        <w:rPr>
          <w:rFonts w:ascii="Calibri" w:hAnsi="Calibri"/>
          <w:b/>
          <w:i w:val="0"/>
          <w:sz w:val="22"/>
        </w:rPr>
        <w:t xml:space="preserve">13.2 Indemnity procedure. </w:t>
      </w:r>
      <w:r>
        <w:rPr>
          <w:rFonts w:ascii="Calibri" w:hAnsi="Calibri"/>
          <w:b w:val="0"/>
          <w:i w:val="0"/>
          <w:sz w:val="22"/>
        </w:rPr>
        <w:t>The Company Indemnitees shall (a) promptly notify the Consultant in writing of any claim for which indemnity is sought; (b) permit the Consultant to assume the defence and settlement of the claim with counsel reasonably acceptable to the Company, provided that no settlement may be entered into without the Company's prior written consent if it requires any admission, payment or restriction by the Company; and (c) provide reasonable cooperation to the Consultant (at the Consultant's cost) in the defence of the claim. Failure to give prompt notice shall not relieve the Consultant of its obligations except to the extent of material prejudice.</w:t>
      </w:r>
    </w:p>
    <w:p>
      <w:pPr>
        <w:pStyle w:val="Heading1"/>
        <w:keepNext/>
        <w:spacing w:before="280" w:after="120"/>
      </w:pPr>
      <w:r>
        <w:rPr>
          <w:rFonts w:ascii="Calibri" w:hAnsi="Calibri"/>
          <w:b/>
          <w:i w:val="0"/>
          <w:color w:val="000000"/>
          <w:sz w:val="26"/>
        </w:rPr>
        <w:t>14. LIMITATION OF LIABILITY</w:t>
      </w:r>
    </w:p>
    <w:p>
      <w:pPr>
        <w:spacing w:after="120" w:line="276" w:lineRule="auto"/>
        <w:jc w:val="both"/>
      </w:pPr>
      <w:r>
        <w:rPr>
          <w:rFonts w:ascii="Calibri" w:hAnsi="Calibri"/>
          <w:b/>
          <w:i w:val="0"/>
          <w:sz w:val="22"/>
        </w:rPr>
        <w:t xml:space="preserve">14.1 Exclusion of indirect losses. </w:t>
      </w:r>
      <w:r>
        <w:rPr>
          <w:rFonts w:ascii="Calibri" w:hAnsi="Calibri"/>
          <w:b w:val="0"/>
          <w:i w:val="0"/>
          <w:sz w:val="22"/>
        </w:rPr>
        <w:t>Save as provided in Clause 14.3, neither Party shall be liable to the other for any indirect, incidental, special, punitive, exemplary or consequential loss or damage, including loss of profits, loss of revenue, loss of goodwill, loss of business, or loss of anticipated savings, whether arising in contract, tort (including negligence), under statute, or otherwise, even if advised of the possibility thereof.</w:t>
      </w:r>
    </w:p>
    <w:p>
      <w:pPr>
        <w:spacing w:after="120" w:line="276" w:lineRule="auto"/>
        <w:jc w:val="both"/>
      </w:pPr>
      <w:r>
        <w:rPr>
          <w:rFonts w:ascii="Calibri" w:hAnsi="Calibri"/>
          <w:b/>
          <w:i w:val="0"/>
          <w:sz w:val="22"/>
        </w:rPr>
        <w:t xml:space="preserve">14.2 Cap. </w:t>
      </w:r>
      <w:r>
        <w:rPr>
          <w:rFonts w:ascii="Calibri" w:hAnsi="Calibri"/>
          <w:b w:val="0"/>
          <w:i w:val="0"/>
          <w:sz w:val="22"/>
        </w:rPr>
        <w:t>Save as provided in Clause 14.3, the total aggregate liability of either Party under or in connection with this Agreement, whether arising in contract, tort or otherwise, shall not exceed the total Fees paid and payable by the Company to the Consultant under this Agreement during the twelve (12) months immediately preceding the event giving rise to the claim.</w:t>
      </w:r>
    </w:p>
    <w:p>
      <w:pPr>
        <w:spacing w:after="120" w:line="276" w:lineRule="auto"/>
        <w:jc w:val="both"/>
      </w:pPr>
      <w:r>
        <w:rPr>
          <w:rFonts w:ascii="Calibri" w:hAnsi="Calibri"/>
          <w:b/>
          <w:i w:val="0"/>
          <w:sz w:val="22"/>
        </w:rPr>
        <w:t xml:space="preserve">14.3 Carve-outs. </w:t>
      </w:r>
      <w:r>
        <w:rPr>
          <w:rFonts w:ascii="Calibri" w:hAnsi="Calibri"/>
          <w:b w:val="0"/>
          <w:i w:val="0"/>
          <w:sz w:val="22"/>
        </w:rPr>
        <w:t>The exclusions and caps in Clauses 14.1 and 14.2 shall not apply to: (a) the Consultant's obligations under Clause 9 (Intellectual Property); (b) either Party's breach of Clause 8 (Confidentiality); (c) either Party's breach of Clause 10 (Data Protection); (d) the Consultant's indemnity obligations under Clauses 4.8 and 13; (e) any liability arising from fraud, gross negligence or wilful misconduct; and (f) the Company's obligation to pay undisputed Fees.</w:t>
      </w:r>
    </w:p>
    <w:p>
      <w:pPr>
        <w:pStyle w:val="Heading1"/>
        <w:keepNext/>
        <w:spacing w:before="280" w:after="120"/>
      </w:pPr>
      <w:r>
        <w:rPr>
          <w:rFonts w:ascii="Calibri" w:hAnsi="Calibri"/>
          <w:b/>
          <w:i w:val="0"/>
          <w:color w:val="000000"/>
          <w:sz w:val="26"/>
        </w:rPr>
        <w:t>15. INSURANCE</w:t>
      </w:r>
    </w:p>
    <w:p>
      <w:pPr>
        <w:spacing w:after="120" w:line="276" w:lineRule="auto"/>
        <w:jc w:val="both"/>
      </w:pPr>
      <w:r>
        <w:rPr>
          <w:rFonts w:ascii="Calibri" w:hAnsi="Calibri"/>
          <w:b/>
          <w:i w:val="0"/>
          <w:sz w:val="22"/>
        </w:rPr>
        <w:t xml:space="preserve">15.1 Insurance cover. </w:t>
      </w:r>
      <w:r>
        <w:rPr>
          <w:rFonts w:ascii="Calibri" w:hAnsi="Calibri"/>
          <w:b w:val="0"/>
          <w:i w:val="0"/>
          <w:sz w:val="22"/>
        </w:rPr>
        <w:t>Where the value of any Statement of Work exceeds INR 50 (fifty) lakh, or where the Services involve the processing of Personal Data or access to sensitive Company systems, the Consultant shall procure and maintain, at its own cost, throughout the Term and for a period of twelve (12) months thereafter: (a) professional indemnity insurance of not less than INR [AMOUNT — e.g., 1 crore] per occurrence; and (b) cyber-liability insurance of not less than INR [AMOUNT — e.g., 50 lakh] per occurrence. The Consultant shall, on request, furnish certificates of insurance to the Company.</w:t>
      </w:r>
    </w:p>
    <w:p>
      <w:pPr>
        <w:pStyle w:val="Heading1"/>
        <w:keepNext/>
        <w:spacing w:before="280" w:after="120"/>
      </w:pPr>
      <w:r>
        <w:rPr>
          <w:rFonts w:ascii="Calibri" w:hAnsi="Calibri"/>
          <w:b/>
          <w:i w:val="0"/>
          <w:color w:val="000000"/>
          <w:sz w:val="26"/>
        </w:rPr>
        <w:t>16. INDEPENDENT-CONTRACTOR STATUS: ADDITIONAL CONFIRMATIONS</w:t>
      </w:r>
    </w:p>
    <w:p>
      <w:pPr>
        <w:spacing w:after="120" w:line="276" w:lineRule="auto"/>
        <w:jc w:val="both"/>
      </w:pPr>
      <w:r>
        <w:rPr>
          <w:rFonts w:ascii="Calibri" w:hAnsi="Calibri"/>
          <w:b/>
          <w:i w:val="0"/>
          <w:sz w:val="22"/>
        </w:rPr>
        <w:t xml:space="preserve">16.1 Anti-misclassification. </w:t>
      </w:r>
      <w:r>
        <w:rPr>
          <w:rFonts w:ascii="Calibri" w:hAnsi="Calibri"/>
          <w:b w:val="0"/>
          <w:i w:val="0"/>
          <w:sz w:val="22"/>
        </w:rPr>
        <w:t>Without prejudice to Clause 4, the Consultant additionally acknowledges and confirms that: (a) the Consultant is engaged as an independent professional on a principal-to-principal basis; (b) the Consultant shall not be included in the Company's organisation chart or internal reporting lines, shall not be designated as a manager or officer of the Company, and shall not receive performance appraisals of the kind administered to the Company's employees; (c) the Consultant shall use its own email and communication tools, save where Company-provided access is strictly necessary for the Services and is clearly labelled as consultant / contractor access; (d) the Consultant may, subject to Clause 4.7 (Conflict), serve other clients; and (e) the Consultant bears its own business risk, supplies its own equipment, and operates its own business.</w:t>
      </w:r>
    </w:p>
    <w:p>
      <w:pPr>
        <w:spacing w:after="120" w:line="276" w:lineRule="auto"/>
        <w:jc w:val="both"/>
      </w:pPr>
      <w:r>
        <w:rPr>
          <w:rFonts w:ascii="Calibri" w:hAnsi="Calibri"/>
          <w:b/>
          <w:i w:val="0"/>
          <w:sz w:val="22"/>
        </w:rPr>
        <w:t xml:space="preserve">16.2 Annual confirmation. </w:t>
      </w:r>
      <w:r>
        <w:rPr>
          <w:rFonts w:ascii="Calibri" w:hAnsi="Calibri"/>
          <w:b w:val="0"/>
          <w:i w:val="0"/>
          <w:sz w:val="22"/>
        </w:rPr>
        <w:t>The Consultant shall, upon the Company's request (not more than once per calendar year), sign a written acknowledgment confirming the Consultant's continuing independent-contractor status and the absence of any employment relationship with the Company.</w:t>
      </w:r>
    </w:p>
    <w:p>
      <w:pPr>
        <w:pStyle w:val="Heading1"/>
        <w:keepNext/>
        <w:spacing w:before="280" w:after="120"/>
      </w:pPr>
      <w:r>
        <w:rPr>
          <w:rFonts w:ascii="Calibri" w:hAnsi="Calibri"/>
          <w:b/>
          <w:i w:val="0"/>
          <w:color w:val="000000"/>
          <w:sz w:val="26"/>
        </w:rPr>
        <w:t>17. TAX AND STATUTORY COMPLIANCE</w:t>
      </w:r>
    </w:p>
    <w:p>
      <w:pPr>
        <w:spacing w:after="120" w:line="276" w:lineRule="auto"/>
        <w:jc w:val="both"/>
      </w:pPr>
      <w:r>
        <w:rPr>
          <w:rFonts w:ascii="Calibri" w:hAnsi="Calibri"/>
          <w:b/>
          <w:i w:val="0"/>
          <w:sz w:val="22"/>
        </w:rPr>
        <w:t xml:space="preserve">17.1 Consultant's direct taxes. </w:t>
      </w:r>
      <w:r>
        <w:rPr>
          <w:rFonts w:ascii="Calibri" w:hAnsi="Calibri"/>
          <w:b w:val="0"/>
          <w:i w:val="0"/>
          <w:sz w:val="22"/>
        </w:rPr>
        <w:t>The Consultant shall be solely responsible for the payment of all direct taxes (including income-tax and advance tax) on the Fees received under this Agreement, and shall indemnify the Company against any claims arising from the Consultant's non-payment or short-payment of such taxes.</w:t>
      </w:r>
    </w:p>
    <w:p>
      <w:pPr>
        <w:spacing w:after="120" w:line="276" w:lineRule="auto"/>
        <w:jc w:val="both"/>
      </w:pPr>
      <w:r>
        <w:rPr>
          <w:rFonts w:ascii="Calibri" w:hAnsi="Calibri"/>
          <w:b/>
          <w:i w:val="0"/>
          <w:sz w:val="22"/>
        </w:rPr>
        <w:t xml:space="preserve">17.2 PAN and TDS. </w:t>
      </w:r>
      <w:r>
        <w:rPr>
          <w:rFonts w:ascii="Calibri" w:hAnsi="Calibri"/>
          <w:b w:val="0"/>
          <w:i w:val="0"/>
          <w:sz w:val="22"/>
        </w:rPr>
        <w:t>The Consultant shall furnish its PAN at execution. The Company shall deduct TDS at the rate applicable under the Income-tax Act, 1961 (principally Section 194J) and shall issue Form 16A quarterly. Where the Consultant's aggregate receipts require audit under Section 44AB, the Consultant shall ensure timely audit and filing.</w:t>
      </w:r>
    </w:p>
    <w:p>
      <w:pPr>
        <w:spacing w:after="120" w:line="276" w:lineRule="auto"/>
        <w:jc w:val="both"/>
      </w:pPr>
      <w:r>
        <w:rPr>
          <w:rFonts w:ascii="Calibri" w:hAnsi="Calibri"/>
          <w:b/>
          <w:i w:val="0"/>
          <w:sz w:val="22"/>
        </w:rPr>
        <w:t xml:space="preserve">17.3 GST registration and invoicing. </w:t>
      </w:r>
      <w:r>
        <w:rPr>
          <w:rFonts w:ascii="Calibri" w:hAnsi="Calibri"/>
          <w:b w:val="0"/>
          <w:i w:val="0"/>
          <w:sz w:val="22"/>
        </w:rPr>
        <w:t>The Consultant shall obtain and maintain GST registration if required under the Central Goods and Services Tax Act, 2017 or applicable State GST legislation, and shall raise GST-compliant tax invoices in accordance with Clause 7.2. Any loss of input tax credit suffered by the Company on account of the Consultant's default (including delayed filing of GSTR-1) shall be recoverable from the Consultant.</w:t>
      </w:r>
    </w:p>
    <w:p>
      <w:pPr>
        <w:spacing w:after="120" w:line="276" w:lineRule="auto"/>
        <w:jc w:val="both"/>
      </w:pPr>
      <w:r>
        <w:rPr>
          <w:rFonts w:ascii="Calibri" w:hAnsi="Calibri"/>
          <w:b/>
          <w:i w:val="0"/>
          <w:sz w:val="22"/>
        </w:rPr>
        <w:t xml:space="preserve">17.4 Professional tax and other dues. </w:t>
      </w:r>
      <w:r>
        <w:rPr>
          <w:rFonts w:ascii="Calibri" w:hAnsi="Calibri"/>
          <w:b w:val="0"/>
          <w:i w:val="0"/>
          <w:sz w:val="22"/>
        </w:rPr>
        <w:t>The Consultant shall be responsible for payment of any professional tax, labour welfare fund contribution, or similar state-level levies applicable to the Consultant or the Consultant's personnel.</w:t>
      </w:r>
    </w:p>
    <w:p>
      <w:pPr>
        <w:spacing w:after="120" w:line="276" w:lineRule="auto"/>
        <w:jc w:val="both"/>
      </w:pPr>
      <w:r>
        <w:rPr>
          <w:rFonts w:ascii="Calibri" w:hAnsi="Calibri"/>
          <w:b/>
          <w:i w:val="0"/>
          <w:sz w:val="22"/>
        </w:rPr>
        <w:t xml:space="preserve">17.5 Contract Labour (R&amp;A) Act. </w:t>
      </w:r>
      <w:r>
        <w:rPr>
          <w:rFonts w:ascii="Calibri" w:hAnsi="Calibri"/>
          <w:b w:val="0"/>
          <w:i w:val="0"/>
          <w:sz w:val="22"/>
        </w:rPr>
        <w:t>Where the Contract Labour (Regulation &amp; Abolition) Act, 1970 is applicable to the engagement (by reason of the Consultant deploying twenty (20) or more workmen at the Company's premises, or such lower threshold as may be applicable under the relevant State rules), the Consultant shall obtain and maintain a valid labour licence, comply with all statutory obligations (including wage, PF, ESI, welfare and safety obligations in respect of its own workmen), and indemnify the Company as “principal employer” against any resulting claims.</w:t>
      </w:r>
    </w:p>
    <w:p>
      <w:pPr>
        <w:pStyle w:val="Heading1"/>
        <w:keepNext/>
        <w:spacing w:before="280" w:after="120"/>
      </w:pPr>
      <w:r>
        <w:rPr>
          <w:rFonts w:ascii="Calibri" w:hAnsi="Calibri"/>
          <w:b/>
          <w:i w:val="0"/>
          <w:color w:val="000000"/>
          <w:sz w:val="26"/>
        </w:rPr>
        <w:t>18. SUBCONTRACTING</w:t>
      </w:r>
    </w:p>
    <w:p>
      <w:pPr>
        <w:spacing w:after="120" w:line="276" w:lineRule="auto"/>
        <w:jc w:val="both"/>
      </w:pPr>
      <w:r>
        <w:rPr>
          <w:rFonts w:ascii="Calibri" w:hAnsi="Calibri"/>
          <w:b/>
          <w:i w:val="0"/>
          <w:sz w:val="22"/>
        </w:rPr>
        <w:t xml:space="preserve">18.1 No subcontracting without consent. </w:t>
      </w:r>
      <w:r>
        <w:rPr>
          <w:rFonts w:ascii="Calibri" w:hAnsi="Calibri"/>
          <w:b w:val="0"/>
          <w:i w:val="0"/>
          <w:sz w:val="22"/>
        </w:rPr>
        <w:t>The Consultant shall not subcontract, assign or delegate any of its obligations under this Agreement or any Statement of Work to any Third Party without the prior written consent of the Company.</w:t>
      </w:r>
    </w:p>
    <w:p>
      <w:pPr>
        <w:spacing w:after="120" w:line="276" w:lineRule="auto"/>
        <w:jc w:val="both"/>
      </w:pPr>
      <w:r>
        <w:rPr>
          <w:rFonts w:ascii="Calibri" w:hAnsi="Calibri"/>
          <w:b/>
          <w:i w:val="0"/>
          <w:sz w:val="22"/>
        </w:rPr>
        <w:t xml:space="preserve">18.2 Flow-down and primary liability. </w:t>
      </w:r>
      <w:r>
        <w:rPr>
          <w:rFonts w:ascii="Calibri" w:hAnsi="Calibri"/>
          <w:b w:val="0"/>
          <w:i w:val="0"/>
          <w:sz w:val="22"/>
        </w:rPr>
        <w:t>Where the Company consents to a subcontracting, the Consultant shall (a) ensure that the subcontractor is bound by written obligations of confidentiality, IP assignment, data protection, and compliance with Applicable Laws no less stringent than those contained in this Agreement; and (b) remain primarily liable to the Company for all acts, omissions, defaults and breaches of the subcontractor as if they were the acts, omissions, defaults and breaches of the Consultant.</w:t>
      </w:r>
    </w:p>
    <w:p>
      <w:pPr>
        <w:pStyle w:val="Heading1"/>
        <w:keepNext/>
        <w:spacing w:before="280" w:after="120"/>
      </w:pPr>
      <w:r>
        <w:rPr>
          <w:rFonts w:ascii="Calibri" w:hAnsi="Calibri"/>
          <w:b/>
          <w:i w:val="0"/>
          <w:color w:val="000000"/>
          <w:sz w:val="26"/>
        </w:rPr>
        <w:t>19. DISPUTE RESOLUTION</w:t>
      </w:r>
    </w:p>
    <w:p>
      <w:pPr>
        <w:spacing w:after="120" w:line="276" w:lineRule="auto"/>
        <w:jc w:val="both"/>
      </w:pPr>
      <w:r>
        <w:rPr>
          <w:rFonts w:ascii="Calibri" w:hAnsi="Calibri"/>
          <w:b/>
          <w:i w:val="0"/>
          <w:sz w:val="22"/>
        </w:rPr>
        <w:t xml:space="preserve">19.1 Amicable settlement. </w:t>
      </w:r>
      <w:r>
        <w:rPr>
          <w:rFonts w:ascii="Calibri" w:hAnsi="Calibri"/>
          <w:b w:val="0"/>
          <w:i w:val="0"/>
          <w:sz w:val="22"/>
        </w:rPr>
        <w:t>Any dispute, controversy or claim arising out of or in connection with this Agreement, including any question regarding its existence, validity, interpretation, breach or termination (a “Dispute”), shall first be attempted to be resolved amicably by good-faith discussion between duly authorised representatives of the Parties. If the Dispute is not resolved within thirty (30) days of written notice by one Party to the other, it shall be referred to arbitration under Clause 19.2.</w:t>
      </w:r>
    </w:p>
    <w:p>
      <w:pPr>
        <w:spacing w:after="120" w:line="276" w:lineRule="auto"/>
        <w:jc w:val="both"/>
      </w:pPr>
      <w:r>
        <w:rPr>
          <w:rFonts w:ascii="Calibri" w:hAnsi="Calibri"/>
          <w:b/>
          <w:i w:val="0"/>
          <w:sz w:val="22"/>
        </w:rPr>
        <w:t xml:space="preserve">19.2 Arbitration. </w:t>
      </w:r>
      <w:r>
        <w:rPr>
          <w:rFonts w:ascii="Calibri" w:hAnsi="Calibri"/>
          <w:b w:val="0"/>
          <w:i w:val="0"/>
          <w:sz w:val="22"/>
        </w:rPr>
        <w:t>Any Dispute not resolved under Clause 19.1 shall be finally settled by arbitration conducted in accordance with the provisions of the Arbitration and Conciliation Act, 1996, as amended from time to time. The arbitral tribunal shall consist of a sole arbitrator mutually appointed by the Parties, failing which the arbitrator shall be appointed in accordance with Section 11 of the said Act. The seat of arbitration shall be New Delhi, Delhi (which shall determine the curial law); the venue shall be New Delhi, Delhi; the language of arbitration shall be English; and the arbitral award shall be final and binding on the Parties.</w:t>
      </w:r>
    </w:p>
    <w:p>
      <w:pPr>
        <w:spacing w:after="120" w:line="276" w:lineRule="auto"/>
        <w:jc w:val="both"/>
      </w:pPr>
      <w:r>
        <w:rPr>
          <w:rFonts w:ascii="Calibri" w:hAnsi="Calibri"/>
          <w:b/>
          <w:i w:val="0"/>
          <w:sz w:val="22"/>
        </w:rPr>
        <w:t xml:space="preserve">19.3 Interim reliefs (Section 9 carve-out). </w:t>
      </w:r>
      <w:r>
        <w:rPr>
          <w:rFonts w:ascii="Calibri" w:hAnsi="Calibri"/>
          <w:b w:val="0"/>
          <w:i w:val="0"/>
          <w:sz w:val="22"/>
        </w:rPr>
        <w:t>Nothing in this Clause 19 shall preclude either Party from seeking interim, interlocutory or protective relief from the competent courts at New Delhi under Section 9 of the Arbitration and Conciliation Act, 1996, or equitable relief under the Specific Relief Act, 1963, in aid of arbitration or for the protection of Confidential Information or Intellectual Property.</w:t>
      </w:r>
    </w:p>
    <w:p>
      <w:pPr>
        <w:spacing w:after="120" w:line="276" w:lineRule="auto"/>
        <w:jc w:val="both"/>
      </w:pPr>
      <w:r>
        <w:rPr>
          <w:rFonts w:ascii="Calibri" w:hAnsi="Calibri"/>
          <w:b/>
          <w:i w:val="0"/>
          <w:sz w:val="22"/>
        </w:rPr>
        <w:t xml:space="preserve">19.4 Costs. </w:t>
      </w:r>
      <w:r>
        <w:rPr>
          <w:rFonts w:ascii="Calibri" w:hAnsi="Calibri"/>
          <w:b w:val="0"/>
          <w:i w:val="0"/>
          <w:sz w:val="22"/>
        </w:rPr>
        <w:t>The costs of arbitration shall be borne as directed by the arbitral tribunal. Each Party shall bear its own legal costs unless the tribunal orders otherwise.</w:t>
      </w:r>
    </w:p>
    <w:p>
      <w:pPr>
        <w:pStyle w:val="Heading1"/>
        <w:keepNext/>
        <w:spacing w:before="280" w:after="120"/>
      </w:pPr>
      <w:r>
        <w:rPr>
          <w:rFonts w:ascii="Calibri" w:hAnsi="Calibri"/>
          <w:b/>
          <w:i w:val="0"/>
          <w:color w:val="000000"/>
          <w:sz w:val="26"/>
        </w:rPr>
        <w:t>20. GOVERNING LAW AND JURISDICTION</w:t>
      </w:r>
    </w:p>
    <w:p>
      <w:pPr>
        <w:spacing w:after="120" w:line="276" w:lineRule="auto"/>
        <w:jc w:val="both"/>
      </w:pPr>
      <w:r>
        <w:rPr>
          <w:rFonts w:ascii="Calibri" w:hAnsi="Calibri"/>
          <w:b/>
          <w:i w:val="0"/>
          <w:sz w:val="22"/>
        </w:rPr>
        <w:t xml:space="preserve">20.1 Governing law. </w:t>
      </w:r>
      <w:r>
        <w:rPr>
          <w:rFonts w:ascii="Calibri" w:hAnsi="Calibri"/>
          <w:b w:val="0"/>
          <w:i w:val="0"/>
          <w:sz w:val="22"/>
        </w:rPr>
        <w:t>This Agreement shall be governed by, and construed in accordance with, the laws of the Republic of India.</w:t>
      </w:r>
    </w:p>
    <w:p>
      <w:pPr>
        <w:spacing w:after="120" w:line="276" w:lineRule="auto"/>
        <w:jc w:val="both"/>
      </w:pPr>
      <w:r>
        <w:rPr>
          <w:rFonts w:ascii="Calibri" w:hAnsi="Calibri"/>
          <w:b/>
          <w:i w:val="0"/>
          <w:sz w:val="22"/>
        </w:rPr>
        <w:t xml:space="preserve">20.2 Exclusive jurisdiction. </w:t>
      </w:r>
      <w:r>
        <w:rPr>
          <w:rFonts w:ascii="Calibri" w:hAnsi="Calibri"/>
          <w:b w:val="0"/>
          <w:i w:val="0"/>
          <w:sz w:val="22"/>
        </w:rPr>
        <w:t>Subject to Clause 19 (Dispute Resolution), the courts at New Delhi, Delhi, shall have exclusive jurisdiction over any proceedings arising out of or in connection with this Agreement.</w:t>
      </w:r>
    </w:p>
    <w:p>
      <w:pPr>
        <w:pStyle w:val="Heading1"/>
        <w:keepNext/>
        <w:spacing w:before="280" w:after="120"/>
      </w:pPr>
      <w:r>
        <w:rPr>
          <w:rFonts w:ascii="Calibri" w:hAnsi="Calibri"/>
          <w:b/>
          <w:i w:val="0"/>
          <w:color w:val="000000"/>
          <w:sz w:val="26"/>
        </w:rPr>
        <w:t>21. FORCE MAJEURE</w:t>
      </w:r>
    </w:p>
    <w:p>
      <w:pPr>
        <w:spacing w:after="120" w:line="276" w:lineRule="auto"/>
        <w:jc w:val="both"/>
      </w:pPr>
      <w:r>
        <w:rPr>
          <w:rFonts w:ascii="Calibri" w:hAnsi="Calibri"/>
          <w:b/>
          <w:i w:val="0"/>
          <w:sz w:val="22"/>
        </w:rPr>
        <w:t xml:space="preserve">21.1 FM event. </w:t>
      </w:r>
      <w:r>
        <w:rPr>
          <w:rFonts w:ascii="Calibri" w:hAnsi="Calibri"/>
          <w:b w:val="0"/>
          <w:i w:val="0"/>
          <w:sz w:val="22"/>
        </w:rPr>
        <w:t>Neither Party shall be liable for any failure or delay in performing its obligations under this Agreement (other than payment obligations for Services already rendered and accepted) to the extent such failure or delay is caused by an event beyond its reasonable control, including acts of God, earthquakes, floods, fires, pandemics, epidemics, governmental lockdowns or curfews, wars, terrorism, riots, civil disturbances, regional internet or telecommunications outages, or binding orders of Governmental Authorities (a “Force Majeure Event”).</w:t>
      </w:r>
    </w:p>
    <w:p>
      <w:pPr>
        <w:spacing w:after="120" w:line="276" w:lineRule="auto"/>
        <w:jc w:val="both"/>
      </w:pPr>
      <w:r>
        <w:rPr>
          <w:rFonts w:ascii="Calibri" w:hAnsi="Calibri"/>
          <w:b/>
          <w:i w:val="0"/>
          <w:sz w:val="22"/>
        </w:rPr>
        <w:t xml:space="preserve">21.2 Mitigation and termination. </w:t>
      </w:r>
      <w:r>
        <w:rPr>
          <w:rFonts w:ascii="Calibri" w:hAnsi="Calibri"/>
          <w:b w:val="0"/>
          <w:i w:val="0"/>
          <w:sz w:val="22"/>
        </w:rPr>
        <w:t>The affected Party shall (a) promptly notify the other in writing of the Force Majeure Event and its expected duration; (b) use reasonable endeavours to mitigate the effects; and (c) resume performance as soon as reasonably practicable. If the Force Majeure Event continues for more than sixty (60) consecutive days, either Party may terminate the affected Statement of Work (and, where appropriate, this Agreement) upon written notice, without liability other than for Services properly rendered and accepted up to the date of termination.</w:t>
      </w:r>
    </w:p>
    <w:p>
      <w:pPr>
        <w:pStyle w:val="Heading1"/>
        <w:keepNext/>
        <w:spacing w:before="280" w:after="120"/>
      </w:pPr>
      <w:r>
        <w:rPr>
          <w:rFonts w:ascii="Calibri" w:hAnsi="Calibri"/>
          <w:b/>
          <w:i w:val="0"/>
          <w:color w:val="000000"/>
          <w:sz w:val="26"/>
        </w:rPr>
        <w:t>22. NOTICES</w:t>
      </w:r>
    </w:p>
    <w:p>
      <w:pPr>
        <w:spacing w:after="120" w:line="276" w:lineRule="auto"/>
        <w:jc w:val="both"/>
      </w:pPr>
      <w:r>
        <w:rPr>
          <w:rFonts w:ascii="Calibri" w:hAnsi="Calibri"/>
          <w:b/>
          <w:i w:val="0"/>
          <w:sz w:val="22"/>
        </w:rPr>
        <w:t xml:space="preserve">22.1 Mode of service. </w:t>
      </w:r>
      <w:r>
        <w:rPr>
          <w:rFonts w:ascii="Calibri" w:hAnsi="Calibri"/>
          <w:b w:val="0"/>
          <w:i w:val="0"/>
          <w:sz w:val="22"/>
        </w:rPr>
        <w:t>Any notice or other communication required or permitted to be given under this Agreement shall be in writing and shall be delivered: (a) by hand; (b) by registered post / speed post with acknowledgment due; (c) by nationally recognised courier with proof of delivery; or (d) by email to the email address(es) specified below (with a copy by any of the methods in (a)–(c) for notices of breach, indemnity or termination).</w:t>
      </w:r>
    </w:p>
    <w:p>
      <w:pPr>
        <w:spacing w:after="120" w:line="276" w:lineRule="auto"/>
        <w:jc w:val="both"/>
      </w:pPr>
      <w:r>
        <w:rPr>
          <w:rFonts w:ascii="Calibri" w:hAnsi="Calibri"/>
          <w:b/>
          <w:i w:val="0"/>
          <w:sz w:val="22"/>
        </w:rPr>
        <w:t xml:space="preserve">22.2 Addresses. </w:t>
      </w:r>
      <w:r>
        <w:rPr>
          <w:rFonts w:ascii="Calibri" w:hAnsi="Calibri"/>
          <w:b w:val="0"/>
          <w:i w:val="0"/>
          <w:sz w:val="22"/>
        </w:rPr>
        <w:t>Notices to AnantaSutra shall be marked for the attention of Mr. Himanshu Mishra, Founder &amp; CEO, at Delhi, India, by email to contact@anantasutra.com. Notices to the Consultant shall be sent to the address set out at the head of this Agreement, email [CONSULTANT EMAIL]. Either Party may change its notice address by written notice to the other.</w:t>
      </w:r>
    </w:p>
    <w:p>
      <w:pPr>
        <w:pStyle w:val="Heading1"/>
        <w:keepNext/>
        <w:spacing w:before="280" w:after="120"/>
      </w:pPr>
      <w:r>
        <w:rPr>
          <w:rFonts w:ascii="Calibri" w:hAnsi="Calibri"/>
          <w:b/>
          <w:i w:val="0"/>
          <w:color w:val="000000"/>
          <w:sz w:val="26"/>
        </w:rPr>
        <w:t>23. MISCELLANEOUS</w:t>
      </w:r>
    </w:p>
    <w:p>
      <w:pPr>
        <w:spacing w:after="120" w:line="276" w:lineRule="auto"/>
        <w:jc w:val="both"/>
      </w:pPr>
      <w:r>
        <w:rPr>
          <w:rFonts w:ascii="Calibri" w:hAnsi="Calibri"/>
          <w:b/>
          <w:i w:val="0"/>
          <w:sz w:val="22"/>
        </w:rPr>
        <w:t xml:space="preserve">23.1 Assignment. </w:t>
      </w:r>
      <w:r>
        <w:rPr>
          <w:rFonts w:ascii="Calibri" w:hAnsi="Calibri"/>
          <w:b w:val="0"/>
          <w:i w:val="0"/>
          <w:sz w:val="22"/>
        </w:rPr>
        <w:t>The Consultant shall not assign, transfer, charge or otherwise dispose of any of its rights or obligations under this Agreement without the prior written consent of the Company. The Company may assign or novate this Agreement to an Affiliate, or to a successor in a merger, amalgamation, demerger or sale of substantially all its assets, upon written notice to the Consultant.</w:t>
      </w:r>
    </w:p>
    <w:p>
      <w:pPr>
        <w:spacing w:after="120" w:line="276" w:lineRule="auto"/>
        <w:jc w:val="both"/>
      </w:pPr>
      <w:r>
        <w:rPr>
          <w:rFonts w:ascii="Calibri" w:hAnsi="Calibri"/>
          <w:b/>
          <w:i w:val="0"/>
          <w:sz w:val="22"/>
        </w:rPr>
        <w:t xml:space="preserve">23.2 Waiver. </w:t>
      </w:r>
      <w:r>
        <w:rPr>
          <w:rFonts w:ascii="Calibri" w:hAnsi="Calibri"/>
          <w:b w:val="0"/>
          <w:i w:val="0"/>
          <w:sz w:val="22"/>
        </w:rPr>
        <w:t>No failure or delay by a Party in exercising any right or remedy under this Agreement shall operate as a waiver thereof, nor shall any single or partial exercise preclude any further exercise thereof.</w:t>
      </w:r>
    </w:p>
    <w:p>
      <w:pPr>
        <w:spacing w:after="120" w:line="276" w:lineRule="auto"/>
        <w:jc w:val="both"/>
      </w:pPr>
      <w:r>
        <w:rPr>
          <w:rFonts w:ascii="Calibri" w:hAnsi="Calibri"/>
          <w:b/>
          <w:i w:val="0"/>
          <w:sz w:val="22"/>
        </w:rPr>
        <w:t xml:space="preserve">23.3 Severability. </w:t>
      </w:r>
      <w:r>
        <w:rPr>
          <w:rFonts w:ascii="Calibri" w:hAnsi="Calibri"/>
          <w:b w:val="0"/>
          <w:i w:val="0"/>
          <w:sz w:val="22"/>
        </w:rPr>
        <w:t>If any provision of this Agreement is held to be invalid, illegal or unenforceable by any competent authority, the remaining provisions shall continue in full force and effect, and the Parties shall negotiate in good faith a substitute provision that most nearly reflects the original intent.</w:t>
      </w:r>
    </w:p>
    <w:p>
      <w:pPr>
        <w:spacing w:after="120" w:line="276" w:lineRule="auto"/>
        <w:jc w:val="both"/>
      </w:pPr>
      <w:r>
        <w:rPr>
          <w:rFonts w:ascii="Calibri" w:hAnsi="Calibri"/>
          <w:b/>
          <w:i w:val="0"/>
          <w:sz w:val="22"/>
        </w:rPr>
        <w:t xml:space="preserve">23.4 Entire agreement. </w:t>
      </w:r>
      <w:r>
        <w:rPr>
          <w:rFonts w:ascii="Calibri" w:hAnsi="Calibri"/>
          <w:b w:val="0"/>
          <w:i w:val="0"/>
          <w:sz w:val="22"/>
        </w:rPr>
        <w:t>This Agreement, together with all Statements of Work and Exhibits hereto, constitutes the entire agreement between the Parties in relation to its subject matter and supersedes all prior discussions, negotiations, arrangements and understandings, whether written or oral. No Party has relied on any representation not expressly set out in this Agreement.</w:t>
      </w:r>
    </w:p>
    <w:p>
      <w:pPr>
        <w:spacing w:after="120" w:line="276" w:lineRule="auto"/>
        <w:jc w:val="both"/>
      </w:pPr>
      <w:r>
        <w:rPr>
          <w:rFonts w:ascii="Calibri" w:hAnsi="Calibri"/>
          <w:b/>
          <w:i w:val="0"/>
          <w:sz w:val="22"/>
        </w:rPr>
        <w:t xml:space="preserve">23.5 Amendment. </w:t>
      </w:r>
      <w:r>
        <w:rPr>
          <w:rFonts w:ascii="Calibri" w:hAnsi="Calibri"/>
          <w:b w:val="0"/>
          <w:i w:val="0"/>
          <w:sz w:val="22"/>
        </w:rPr>
        <w:t>No amendment or modification of this Agreement shall be valid or binding unless made in writing and signed by authorised representatives of both Parties.</w:t>
      </w:r>
    </w:p>
    <w:p>
      <w:pPr>
        <w:spacing w:after="120" w:line="276" w:lineRule="auto"/>
        <w:jc w:val="both"/>
      </w:pPr>
      <w:r>
        <w:rPr>
          <w:rFonts w:ascii="Calibri" w:hAnsi="Calibri"/>
          <w:b/>
          <w:i w:val="0"/>
          <w:sz w:val="22"/>
        </w:rPr>
        <w:t xml:space="preserve">23.6 Counterparts and electronic execution. </w:t>
      </w:r>
      <w:r>
        <w:rPr>
          <w:rFonts w:ascii="Calibri" w:hAnsi="Calibri"/>
          <w:b w:val="0"/>
          <w:i w:val="0"/>
          <w:sz w:val="22"/>
        </w:rPr>
        <w:t>This Agreement may be executed in counterparts, each of which when executed shall be an original and all of which together shall constitute one and the same instrument. The Parties agree that this Agreement may be executed by way of electronic signature (including Aadhaar e-Sign or digital signature certificate) under the Information Technology Act, 2000, and that such electronic execution shall be valid and enforceable as between the Parties.</w:t>
      </w:r>
    </w:p>
    <w:p>
      <w:pPr>
        <w:spacing w:after="120" w:line="276" w:lineRule="auto"/>
        <w:jc w:val="both"/>
      </w:pPr>
      <w:r>
        <w:rPr>
          <w:rFonts w:ascii="Calibri" w:hAnsi="Calibri"/>
          <w:b/>
          <w:i w:val="0"/>
          <w:sz w:val="22"/>
        </w:rPr>
        <w:t xml:space="preserve">23.7 No partnership or agency. </w:t>
      </w:r>
      <w:r>
        <w:rPr>
          <w:rFonts w:ascii="Calibri" w:hAnsi="Calibri"/>
          <w:b w:val="0"/>
          <w:i w:val="0"/>
          <w:sz w:val="22"/>
        </w:rPr>
        <w:t>Nothing in this Agreement shall constitute a partnership, joint venture, or agency relationship between the Parties, and neither Party shall have authority to bind the other except as expressly provided herein.</w:t>
      </w:r>
    </w:p>
    <w:p>
      <w:pPr>
        <w:spacing w:after="120" w:line="276" w:lineRule="auto"/>
        <w:jc w:val="both"/>
      </w:pPr>
      <w:r>
        <w:rPr>
          <w:rFonts w:ascii="Calibri" w:hAnsi="Calibri"/>
          <w:b/>
          <w:i w:val="0"/>
          <w:sz w:val="22"/>
        </w:rPr>
        <w:t xml:space="preserve">23.8 Third-party rights. </w:t>
      </w:r>
      <w:r>
        <w:rPr>
          <w:rFonts w:ascii="Calibri" w:hAnsi="Calibri"/>
          <w:b w:val="0"/>
          <w:i w:val="0"/>
          <w:sz w:val="22"/>
        </w:rPr>
        <w:t>A person who is not a Party to this Agreement shall have no rights under it, save as expressly provided herein.</w:t>
      </w:r>
    </w:p>
    <w:p>
      <w:pPr>
        <w:spacing w:after="120" w:line="276" w:lineRule="auto"/>
        <w:jc w:val="both"/>
      </w:pPr>
      <w:r>
        <w:rPr>
          <w:rFonts w:ascii="Calibri" w:hAnsi="Calibri"/>
          <w:b/>
          <w:i w:val="0"/>
          <w:sz w:val="22"/>
        </w:rPr>
        <w:t xml:space="preserve">23.9 Stamp duty. </w:t>
      </w:r>
      <w:r>
        <w:rPr>
          <w:rFonts w:ascii="Calibri" w:hAnsi="Calibri"/>
          <w:b w:val="0"/>
          <w:i w:val="0"/>
          <w:sz w:val="22"/>
        </w:rPr>
        <w:t>The Parties acknowledge that appropriate stamp duty is chargeable on this Agreement under the Delhi Stamp Act, 1957 (read with Article 5 of the Schedule thereto, being an “agreement not otherwise provided for”), and shall be borne by [the Company / equally by the Parties], and that the original of this Agreement shall be e-stamped through the Stock Holding Corporation of India Ltd. (SHCIL). The Parties acknowledge that an inadequately stamped document may be inadmissible in evidence under Section 35 of the Indian Stamp Act, 1899 until stamped together with applicable penalty.</w:t>
      </w:r>
    </w:p>
    <w:p>
      <w:pPr>
        <w:pStyle w:val="Heading1"/>
        <w:keepNext/>
        <w:spacing w:before="280" w:after="120"/>
      </w:pPr>
      <w:r>
        <w:rPr>
          <w:rFonts w:ascii="Calibri" w:hAnsi="Calibri"/>
          <w:b/>
          <w:i w:val="0"/>
          <w:color w:val="000000"/>
          <w:sz w:val="26"/>
        </w:rPr>
        <w:t>24. EXECUTION</w:t>
      </w:r>
    </w:p>
    <w:p>
      <w:pPr>
        <w:spacing w:after="120" w:before="0" w:line="276" w:lineRule="auto"/>
        <w:jc w:val="both"/>
      </w:pPr>
      <w:r>
        <w:rPr>
          <w:rFonts w:ascii="Calibri" w:hAnsi="Calibri"/>
          <w:b w:val="0"/>
          <w:i w:val="0"/>
          <w:sz w:val="22"/>
        </w:rPr>
        <w:t>IN WITNESS WHEREOF, the Parties have executed this Agreement on the date first above written, in the presence of the witnesses whose names appear below.</w:t>
      </w:r>
    </w:p>
    <w:tbl>
      <w:tblPr>
        <w:tblW w:type="auto" w:w="0"/>
        <w:tblLayout w:type="fixed"/>
        <w:tblLook w:firstColumn="1" w:firstRow="1" w:lastColumn="0" w:lastRow="0" w:noHBand="0" w:noVBand="1" w:val="04A0"/>
      </w:tblPr>
      <w:tblGrid>
        <w:gridCol w:w="4513"/>
        <w:gridCol w:w="4513"/>
      </w:tblGrid>
      <w:tr>
        <w:tc>
          <w:tcPr>
            <w:tcW w:type="dxa" w:w="4536"/>
            <w:tcBorders>
              <w:top w:val="single" w:sz="4" w:space="0" w:color="000000"/>
              <w:left w:val="single" w:sz="4" w:space="0" w:color="000000"/>
              <w:bottom w:val="single" w:sz="4" w:space="0" w:color="000000"/>
              <w:right w:val="single" w:sz="4" w:space="0" w:color="000000"/>
            </w:tcBorders>
          </w:tcPr>
          <w:p>
            <w:pPr>
              <w:spacing w:after="60"/>
            </w:pPr>
            <w:r/>
            <w:r>
              <w:rPr>
                <w:rFonts w:ascii="Calibri" w:hAnsi="Calibri"/>
                <w:b/>
                <w:i w:val="0"/>
                <w:sz w:val="22"/>
              </w:rPr>
              <w:t>For and on behalf of</w:t>
            </w:r>
          </w:p>
          <w:p>
            <w:pPr>
              <w:spacing w:after="60"/>
            </w:pPr>
            <w:r>
              <w:rPr>
                <w:rFonts w:ascii="Calibri" w:hAnsi="Calibri"/>
                <w:b/>
                <w:i w:val="0"/>
                <w:sz w:val="22"/>
              </w:rPr>
              <w:t>ANANTASUTRA</w:t>
            </w:r>
          </w:p>
          <w:p>
            <w:pPr>
              <w:spacing w:after="60"/>
            </w:pPr>
            <w:r>
              <w:rPr>
                <w:rFonts w:ascii="Calibri" w:hAnsi="Calibri"/>
                <w:b w:val="0"/>
                <w:i w:val="0"/>
                <w:sz w:val="22"/>
              </w:rPr>
            </w:r>
          </w:p>
          <w:p>
            <w:pPr>
              <w:spacing w:after="60"/>
            </w:pPr>
            <w:r>
              <w:rPr>
                <w:rFonts w:ascii="Calibri" w:hAnsi="Calibri"/>
                <w:b w:val="0"/>
                <w:i w:val="0"/>
                <w:sz w:val="22"/>
              </w:rPr>
            </w:r>
          </w:p>
          <w:p>
            <w:pPr>
              <w:spacing w:after="60"/>
            </w:pPr>
            <w:r>
              <w:rPr>
                <w:rFonts w:ascii="Calibri" w:hAnsi="Calibri"/>
                <w:b w:val="0"/>
                <w:i w:val="0"/>
                <w:sz w:val="22"/>
              </w:rPr>
              <w:t>Signature: ____________________________</w:t>
            </w:r>
          </w:p>
          <w:p>
            <w:pPr>
              <w:spacing w:after="60"/>
            </w:pPr>
            <w:r>
              <w:rPr>
                <w:rFonts w:ascii="Calibri" w:hAnsi="Calibri"/>
                <w:b w:val="0"/>
                <w:i w:val="0"/>
                <w:sz w:val="22"/>
              </w:rPr>
              <w:t>Name:   Mr. Himanshu Mishra</w:t>
            </w:r>
          </w:p>
          <w:p>
            <w:pPr>
              <w:spacing w:after="60"/>
            </w:pPr>
            <w:r>
              <w:rPr>
                <w:rFonts w:ascii="Calibri" w:hAnsi="Calibri"/>
                <w:b w:val="0"/>
                <w:i w:val="0"/>
                <w:sz w:val="22"/>
              </w:rPr>
              <w:t>Designation: Founder &amp; CEO</w:t>
            </w:r>
          </w:p>
          <w:p>
            <w:pPr>
              <w:spacing w:after="60"/>
            </w:pPr>
            <w:r>
              <w:rPr>
                <w:rFonts w:ascii="Calibri" w:hAnsi="Calibri"/>
                <w:b w:val="0"/>
                <w:i w:val="0"/>
                <w:sz w:val="22"/>
              </w:rPr>
              <w:t>Email:  contact@anantasutra.com</w:t>
            </w:r>
          </w:p>
          <w:p>
            <w:pPr>
              <w:spacing w:after="60"/>
            </w:pPr>
            <w:r>
              <w:rPr>
                <w:rFonts w:ascii="Calibri" w:hAnsi="Calibri"/>
                <w:b w:val="0"/>
                <w:i w:val="0"/>
                <w:sz w:val="22"/>
              </w:rPr>
              <w:t>Date:   [DATE]</w:t>
            </w:r>
          </w:p>
          <w:p>
            <w:pPr>
              <w:spacing w:after="60"/>
            </w:pPr>
            <w:r>
              <w:rPr>
                <w:rFonts w:ascii="Calibri" w:hAnsi="Calibri"/>
                <w:b w:val="0"/>
                <w:i w:val="0"/>
                <w:sz w:val="22"/>
              </w:rPr>
              <w:t>Place:  Delhi</w:t>
            </w:r>
          </w:p>
        </w:tc>
        <w:tc>
          <w:tcPr>
            <w:tcW w:type="dxa" w:w="4536"/>
            <w:tcBorders>
              <w:top w:val="single" w:sz="4" w:space="0" w:color="000000"/>
              <w:left w:val="single" w:sz="4" w:space="0" w:color="000000"/>
              <w:bottom w:val="single" w:sz="4" w:space="0" w:color="000000"/>
              <w:right w:val="single" w:sz="4" w:space="0" w:color="000000"/>
            </w:tcBorders>
          </w:tcPr>
          <w:p>
            <w:pPr>
              <w:spacing w:after="60"/>
            </w:pPr>
            <w:r/>
            <w:r>
              <w:rPr>
                <w:rFonts w:ascii="Calibri" w:hAnsi="Calibri"/>
                <w:b/>
                <w:i w:val="0"/>
                <w:sz w:val="22"/>
              </w:rPr>
              <w:t>For and on behalf of</w:t>
            </w:r>
          </w:p>
          <w:p>
            <w:pPr>
              <w:spacing w:after="60"/>
            </w:pPr>
            <w:r>
              <w:rPr>
                <w:rFonts w:ascii="Calibri" w:hAnsi="Calibri"/>
                <w:b/>
                <w:i w:val="0"/>
                <w:sz w:val="22"/>
              </w:rPr>
              <w:t>[CONSULTANT NAME]</w:t>
            </w:r>
          </w:p>
          <w:p>
            <w:pPr>
              <w:spacing w:after="60"/>
            </w:pPr>
            <w:r>
              <w:rPr>
                <w:rFonts w:ascii="Calibri" w:hAnsi="Calibri"/>
                <w:b w:val="0"/>
                <w:i w:val="0"/>
                <w:sz w:val="22"/>
              </w:rPr>
            </w:r>
          </w:p>
          <w:p>
            <w:pPr>
              <w:spacing w:after="60"/>
            </w:pPr>
            <w:r>
              <w:rPr>
                <w:rFonts w:ascii="Calibri" w:hAnsi="Calibri"/>
                <w:b w:val="0"/>
                <w:i w:val="0"/>
                <w:sz w:val="22"/>
              </w:rPr>
            </w:r>
          </w:p>
          <w:p>
            <w:pPr>
              <w:spacing w:after="60"/>
            </w:pPr>
            <w:r>
              <w:rPr>
                <w:rFonts w:ascii="Calibri" w:hAnsi="Calibri"/>
                <w:b w:val="0"/>
                <w:i w:val="0"/>
                <w:sz w:val="22"/>
              </w:rPr>
              <w:t>Signature: ____________________________</w:t>
            </w:r>
          </w:p>
          <w:p>
            <w:pPr>
              <w:spacing w:after="60"/>
            </w:pPr>
            <w:r>
              <w:rPr>
                <w:rFonts w:ascii="Calibri" w:hAnsi="Calibri"/>
                <w:b w:val="0"/>
                <w:i w:val="0"/>
                <w:sz w:val="22"/>
              </w:rPr>
              <w:t>Name:   [CONSULTANT / AUTHORISED SIGNATORY]</w:t>
            </w:r>
          </w:p>
          <w:p>
            <w:pPr>
              <w:spacing w:after="60"/>
            </w:pPr>
            <w:r>
              <w:rPr>
                <w:rFonts w:ascii="Calibri" w:hAnsi="Calibri"/>
                <w:b w:val="0"/>
                <w:i w:val="0"/>
                <w:sz w:val="22"/>
              </w:rPr>
              <w:t>Designation: [DESIGNATION, if firm/company]</w:t>
            </w:r>
          </w:p>
          <w:p>
            <w:pPr>
              <w:spacing w:after="60"/>
            </w:pPr>
            <w:r>
              <w:rPr>
                <w:rFonts w:ascii="Calibri" w:hAnsi="Calibri"/>
                <w:b w:val="0"/>
                <w:i w:val="0"/>
                <w:sz w:val="22"/>
              </w:rPr>
              <w:t>Date:   ____________________________</w:t>
            </w:r>
          </w:p>
          <w:p>
            <w:pPr>
              <w:spacing w:after="60"/>
            </w:pPr>
            <w:r>
              <w:rPr>
                <w:rFonts w:ascii="Calibri" w:hAnsi="Calibri"/>
                <w:b w:val="0"/>
                <w:i w:val="0"/>
                <w:sz w:val="22"/>
              </w:rPr>
              <w:t>Place:  ____________________________</w:t>
            </w:r>
          </w:p>
        </w:tc>
      </w:tr>
    </w:tbl>
    <w:p>
      <w:pPr>
        <w:spacing w:after="120" w:before="0" w:line="276" w:lineRule="auto"/>
        <w:jc w:val="both"/>
      </w:pPr>
    </w:p>
    <w:p>
      <w:pPr>
        <w:spacing w:after="120" w:before="200" w:line="276" w:lineRule="auto"/>
        <w:jc w:val="both"/>
      </w:pPr>
      <w:r>
        <w:rPr>
          <w:rFonts w:ascii="Calibri" w:hAnsi="Calibri"/>
          <w:b/>
          <w:i w:val="0"/>
          <w:sz w:val="22"/>
        </w:rPr>
        <w:t>WITNESSES:</w:t>
      </w:r>
    </w:p>
    <w:tbl>
      <w:tblPr>
        <w:tblW w:type="auto" w:w="0"/>
        <w:tblLayout w:type="fixed"/>
        <w:tblLook w:firstColumn="1" w:firstRow="1" w:lastColumn="0" w:lastRow="0" w:noHBand="0" w:noVBand="1" w:val="04A0"/>
      </w:tblPr>
      <w:tblGrid>
        <w:gridCol w:w="4513"/>
        <w:gridCol w:w="4513"/>
      </w:tblGrid>
      <w:tr>
        <w:tc>
          <w:tcPr>
            <w:tcW w:type="dxa" w:w="4536"/>
            <w:tcBorders>
              <w:top w:val="single" w:sz="4" w:space="0" w:color="000000"/>
              <w:left w:val="single" w:sz="4" w:space="0" w:color="000000"/>
              <w:bottom w:val="single" w:sz="4" w:space="0" w:color="000000"/>
              <w:right w:val="single" w:sz="4" w:space="0" w:color="000000"/>
            </w:tcBorders>
          </w:tcPr>
          <w:p>
            <w:pPr>
              <w:spacing w:after="60"/>
            </w:pPr>
            <w:r/>
            <w:r>
              <w:rPr>
                <w:rFonts w:ascii="Calibri" w:hAnsi="Calibri"/>
                <w:b/>
                <w:i w:val="0"/>
                <w:sz w:val="22"/>
              </w:rPr>
              <w:t>Witness 1</w:t>
            </w:r>
          </w:p>
          <w:p>
            <w:pPr>
              <w:spacing w:after="60"/>
            </w:pPr>
            <w:r>
              <w:rPr>
                <w:rFonts w:ascii="Calibri" w:hAnsi="Calibri"/>
                <w:b w:val="0"/>
                <w:i w:val="0"/>
                <w:sz w:val="22"/>
              </w:rPr>
            </w:r>
          </w:p>
          <w:p>
            <w:pPr>
              <w:spacing w:after="60"/>
            </w:pPr>
            <w:r>
              <w:rPr>
                <w:rFonts w:ascii="Calibri" w:hAnsi="Calibri"/>
                <w:b w:val="0"/>
                <w:i w:val="0"/>
                <w:sz w:val="22"/>
              </w:rPr>
              <w:t>Signature: ____________________________</w:t>
            </w:r>
          </w:p>
          <w:p>
            <w:pPr>
              <w:spacing w:after="60"/>
            </w:pPr>
            <w:r>
              <w:rPr>
                <w:rFonts w:ascii="Calibri" w:hAnsi="Calibri"/>
                <w:b w:val="0"/>
                <w:i w:val="0"/>
                <w:sz w:val="22"/>
              </w:rPr>
              <w:t>Name:  ____________________________</w:t>
            </w:r>
          </w:p>
          <w:p>
            <w:pPr>
              <w:spacing w:after="60"/>
            </w:pPr>
            <w:r>
              <w:rPr>
                <w:rFonts w:ascii="Calibri" w:hAnsi="Calibri"/>
                <w:b w:val="0"/>
                <w:i w:val="0"/>
                <w:sz w:val="22"/>
              </w:rPr>
              <w:t>Address: ____________________________</w:t>
            </w:r>
          </w:p>
          <w:p>
            <w:pPr>
              <w:spacing w:after="60"/>
            </w:pPr>
            <w:r>
              <w:rPr>
                <w:rFonts w:ascii="Calibri" w:hAnsi="Calibri"/>
                <w:b w:val="0"/>
                <w:i w:val="0"/>
                <w:sz w:val="22"/>
              </w:rPr>
              <w:t>PAN:   ____________________________</w:t>
            </w:r>
          </w:p>
        </w:tc>
        <w:tc>
          <w:tcPr>
            <w:tcW w:type="dxa" w:w="4536"/>
            <w:tcBorders>
              <w:top w:val="single" w:sz="4" w:space="0" w:color="000000"/>
              <w:left w:val="single" w:sz="4" w:space="0" w:color="000000"/>
              <w:bottom w:val="single" w:sz="4" w:space="0" w:color="000000"/>
              <w:right w:val="single" w:sz="4" w:space="0" w:color="000000"/>
            </w:tcBorders>
          </w:tcPr>
          <w:p>
            <w:pPr>
              <w:spacing w:after="60"/>
            </w:pPr>
            <w:r/>
            <w:r>
              <w:rPr>
                <w:rFonts w:ascii="Calibri" w:hAnsi="Calibri"/>
                <w:b/>
                <w:i w:val="0"/>
                <w:sz w:val="22"/>
              </w:rPr>
              <w:t>Witness 2</w:t>
            </w:r>
          </w:p>
          <w:p>
            <w:pPr>
              <w:spacing w:after="60"/>
            </w:pPr>
            <w:r>
              <w:rPr>
                <w:rFonts w:ascii="Calibri" w:hAnsi="Calibri"/>
                <w:b w:val="0"/>
                <w:i w:val="0"/>
                <w:sz w:val="22"/>
              </w:rPr>
            </w:r>
          </w:p>
          <w:p>
            <w:pPr>
              <w:spacing w:after="60"/>
            </w:pPr>
            <w:r>
              <w:rPr>
                <w:rFonts w:ascii="Calibri" w:hAnsi="Calibri"/>
                <w:b w:val="0"/>
                <w:i w:val="0"/>
                <w:sz w:val="22"/>
              </w:rPr>
              <w:t>Signature: ____________________________</w:t>
            </w:r>
          </w:p>
          <w:p>
            <w:pPr>
              <w:spacing w:after="60"/>
            </w:pPr>
            <w:r>
              <w:rPr>
                <w:rFonts w:ascii="Calibri" w:hAnsi="Calibri"/>
                <w:b w:val="0"/>
                <w:i w:val="0"/>
                <w:sz w:val="22"/>
              </w:rPr>
              <w:t>Name:  ____________________________</w:t>
            </w:r>
          </w:p>
          <w:p>
            <w:pPr>
              <w:spacing w:after="60"/>
            </w:pPr>
            <w:r>
              <w:rPr>
                <w:rFonts w:ascii="Calibri" w:hAnsi="Calibri"/>
                <w:b w:val="0"/>
                <w:i w:val="0"/>
                <w:sz w:val="22"/>
              </w:rPr>
              <w:t>Address: ____________________________</w:t>
            </w:r>
          </w:p>
          <w:p>
            <w:pPr>
              <w:spacing w:after="60"/>
            </w:pPr>
            <w:r>
              <w:rPr>
                <w:rFonts w:ascii="Calibri" w:hAnsi="Calibri"/>
                <w:b w:val="0"/>
                <w:i w:val="0"/>
                <w:sz w:val="22"/>
              </w:rPr>
              <w:t>PAN:   ____________________________</w:t>
            </w:r>
          </w:p>
        </w:tc>
      </w:tr>
    </w:tbl>
    <w:p>
      <w:r>
        <w:br/>
        <w:br w:type="page"/>
      </w:r>
    </w:p>
    <w:p>
      <w:pPr>
        <w:spacing w:after="200"/>
        <w:jc w:val="center"/>
      </w:pPr>
      <w:r>
        <w:rPr>
          <w:rFonts w:ascii="Calibri" w:hAnsi="Calibri"/>
          <w:b/>
          <w:i w:val="0"/>
          <w:sz w:val="28"/>
        </w:rPr>
        <w:t>EXHIBIT A — STATEMENT OF WORK (TEMPLATE)</w:t>
      </w:r>
    </w:p>
    <w:p>
      <w:pPr>
        <w:spacing w:after="120" w:before="0" w:line="276" w:lineRule="auto"/>
        <w:jc w:val="both"/>
      </w:pPr>
      <w:r>
        <w:rPr>
          <w:rFonts w:ascii="Calibri" w:hAnsi="Calibri"/>
          <w:b w:val="0"/>
          <w:i w:val="0"/>
          <w:sz w:val="22"/>
        </w:rPr>
        <w:t>This Statement of Work (“SOW No. [•]”) is entered into pursuant to the Consultant / Independent Contractor Agreement dated [EFFECTIVE DATE] between AnantaSutra (the “Company”) and [CONSULTANT NAME] (the “Consultant”). Capitalised terms used but not defined herein shall have the meanings given to them in the Agreement. In the event of conflict between the Agreement and this SOW, the Agreement shall prevail, save in respect of commercial terms (Fees, Deliverables, timelines) set out below.</w:t>
      </w:r>
    </w:p>
    <w:tbl>
      <w:tblPr>
        <w:tblW w:type="auto" w:w="0"/>
        <w:tblLayout w:type="fixed"/>
        <w:tblLook w:firstColumn="1" w:firstRow="1" w:lastColumn="0" w:lastRow="0" w:noHBand="0" w:noVBand="1" w:val="04A0"/>
      </w:tblPr>
      <w:tblGrid>
        <w:gridCol w:w="4513"/>
        <w:gridCol w:w="4513"/>
      </w:tblGrid>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 SOW Number and Date</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SOW No. [•]; effective [DATE].</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2. Description of Services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[Describe the Services in sufficient detail. E.g., development of a [module/feature], technical advisory on [area], preparation of [report/design].]</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3. Deliverables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[List each Deliverable with a unique reference; include format, acceptance criteria, and whether partial deliveries are permitted.]</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4. Timeline / Milestones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[Milestone 1 — [Date]; Milestone 2 — [Date]; Final delivery — [Date]. Indicate any contingent dates.]</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5. Fees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[Fixed fee of INR [AMOUNT] payable as follows: [●]% on signature; [●]% on Milestone 1; [●]% on Milestone 2; balance on final acceptance. OR Hourly rate of INR [AMOUNT] per hour, estimated [HOURS] hours, capped at INR [AMOUNT]. Fees exclusive of GST.]</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6. Out-of-pocket expenses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[Travel outside New Delhi, subject to pre-approval, at actuals; Third-party software licences reimbursed at cost plus zero margin; other expenses not reimbursable.]</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7. Acceptance criteria</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[Define objective, measurable acceptance criteria for each Deliverable; reference any test plan, specification or industry standard.]</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8. Key personnel</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[List key personnel with role and % of time committed.]</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9. Location of Services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[Primarily remote / at Consultant's premises / with periodic visits to Company premises at [ADDRESS].]</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10. Background IP of Consultant used</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[List from Exhibit B or mark “None”.]</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11. Third-party / open-source components used</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[List with licence or mark “None”.]</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12. Access to Personal Data</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[Yes — scope and categories: [•]; sub-processors: [•] / No.]</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13. Insurance required</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[Professional indemnity: INR [AMOUNT]; Cyber: INR [AMOUNT] / Not required.]</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14. Term of this SOW</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[From [DATE] to [DATE] unless terminated earlier.]</w:t>
            </w:r>
          </w:p>
        </w:tc>
      </w:tr>
      <w:tr>
        <w:tc>
          <w:tcPr>
            <w:tcW w:type="dxa" w:w="2880"/>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i w:val="0"/>
                <w:sz w:val="22"/>
              </w:rPr>
              <w:t>15. Special provisions</w:t>
            </w:r>
          </w:p>
        </w:tc>
        <w:tc>
          <w:tcPr>
            <w:tcW w:type="dxa" w:w="6192"/>
            <w:tcBorders>
              <w:top w:val="single" w:sz="4" w:space="0" w:color="000000"/>
              <w:left w:val="single" w:sz="4" w:space="0" w:color="000000"/>
              <w:bottom w:val="single" w:sz="4" w:space="0" w:color="000000"/>
              <w:right w:val="single" w:sz="4" w:space="0" w:color="000000"/>
            </w:tcBorders>
          </w:tcPr>
          <w:p>
            <w:pPr>
              <w:spacing w:after="40"/>
            </w:pPr>
            <w:r>
              <w:rPr>
                <w:rFonts w:ascii="Calibri" w:hAnsi="Calibri"/>
                <w:b w:val="0"/>
                <w:i w:val="0"/>
                <w:sz w:val="22"/>
              </w:rPr>
              <w:t>[Any SOW-specific variations from the Agreement. If none, mark “None”.]</w:t>
            </w:r>
          </w:p>
        </w:tc>
      </w:tr>
    </w:tbl>
    <w:p>
      <w:pPr>
        <w:spacing w:after="120" w:before="200" w:line="276" w:lineRule="auto"/>
        <w:jc w:val="both"/>
      </w:pPr>
    </w:p>
    <w:p>
      <w:pPr>
        <w:spacing w:after="120" w:before="0" w:line="276" w:lineRule="auto"/>
        <w:jc w:val="both"/>
      </w:pPr>
      <w:r>
        <w:rPr>
          <w:rFonts w:ascii="Calibri" w:hAnsi="Calibri"/>
          <w:b/>
          <w:i w:val="0"/>
          <w:sz w:val="22"/>
        </w:rPr>
        <w:t>Agreed and accepted:</w:t>
      </w:r>
    </w:p>
    <w:tbl>
      <w:tblPr>
        <w:tblW w:type="auto" w:w="0"/>
        <w:tblLayout w:type="fixed"/>
        <w:tblLook w:firstColumn="1" w:firstRow="1" w:lastColumn="0" w:lastRow="0" w:noHBand="0" w:noVBand="1" w:val="04A0"/>
      </w:tblPr>
      <w:tblGrid>
        <w:gridCol w:w="4513"/>
        <w:gridCol w:w="4513"/>
      </w:tblGrid>
      <w:tr>
        <w:tc>
          <w:tcPr>
            <w:tcW w:type="dxa" w:w="4536"/>
            <w:tcBorders>
              <w:top w:val="single" w:sz="4" w:space="0" w:color="000000"/>
              <w:left w:val="single" w:sz="4" w:space="0" w:color="000000"/>
              <w:bottom w:val="single" w:sz="4" w:space="0" w:color="000000"/>
              <w:right w:val="single" w:sz="4" w:space="0" w:color="000000"/>
            </w:tcBorders>
          </w:tcPr>
          <w:p>
            <w:pPr>
              <w:spacing w:after="60"/>
            </w:pPr>
            <w:r/>
            <w:r>
              <w:rPr>
                <w:rFonts w:ascii="Calibri" w:hAnsi="Calibri"/>
                <w:b/>
                <w:i w:val="0"/>
                <w:sz w:val="22"/>
              </w:rPr>
              <w:t>For AnantaSutra</w:t>
            </w:r>
          </w:p>
          <w:p>
            <w:pPr>
              <w:spacing w:after="60"/>
            </w:pPr>
            <w:r>
              <w:rPr>
                <w:rFonts w:ascii="Calibri" w:hAnsi="Calibri"/>
                <w:b w:val="0"/>
                <w:i w:val="0"/>
                <w:sz w:val="22"/>
              </w:rPr>
            </w:r>
          </w:p>
          <w:p>
            <w:pPr>
              <w:spacing w:after="60"/>
            </w:pPr>
            <w:r>
              <w:rPr>
                <w:rFonts w:ascii="Calibri" w:hAnsi="Calibri"/>
                <w:b w:val="0"/>
                <w:i w:val="0"/>
                <w:sz w:val="22"/>
              </w:rPr>
              <w:t>Signature: ______________________</w:t>
            </w:r>
          </w:p>
          <w:p>
            <w:pPr>
              <w:spacing w:after="60"/>
            </w:pPr>
            <w:r>
              <w:rPr>
                <w:rFonts w:ascii="Calibri" w:hAnsi="Calibri"/>
                <w:b w:val="0"/>
                <w:i w:val="0"/>
                <w:sz w:val="22"/>
              </w:rPr>
              <w:t>Name:  Mr. Himanshu Mishra</w:t>
            </w:r>
          </w:p>
          <w:p>
            <w:pPr>
              <w:spacing w:after="60"/>
            </w:pPr>
            <w:r>
              <w:rPr>
                <w:rFonts w:ascii="Calibri" w:hAnsi="Calibri"/>
                <w:b w:val="0"/>
                <w:i w:val="0"/>
                <w:sz w:val="22"/>
              </w:rPr>
              <w:t>Designation: Founder &amp; CEO</w:t>
            </w:r>
          </w:p>
          <w:p>
            <w:pPr>
              <w:spacing w:after="60"/>
            </w:pPr>
            <w:r>
              <w:rPr>
                <w:rFonts w:ascii="Calibri" w:hAnsi="Calibri"/>
                <w:b w:val="0"/>
                <w:i w:val="0"/>
                <w:sz w:val="22"/>
              </w:rPr>
              <w:t>Date:  [DATE]</w:t>
            </w:r>
          </w:p>
        </w:tc>
        <w:tc>
          <w:tcPr>
            <w:tcW w:type="dxa" w:w="4536"/>
            <w:tcBorders>
              <w:top w:val="single" w:sz="4" w:space="0" w:color="000000"/>
              <w:left w:val="single" w:sz="4" w:space="0" w:color="000000"/>
              <w:bottom w:val="single" w:sz="4" w:space="0" w:color="000000"/>
              <w:right w:val="single" w:sz="4" w:space="0" w:color="000000"/>
            </w:tcBorders>
          </w:tcPr>
          <w:p>
            <w:pPr>
              <w:spacing w:after="60"/>
            </w:pPr>
            <w:r/>
            <w:r>
              <w:rPr>
                <w:rFonts w:ascii="Calibri" w:hAnsi="Calibri"/>
                <w:b/>
                <w:i w:val="0"/>
                <w:sz w:val="22"/>
              </w:rPr>
              <w:t>For [CONSULTANT NAME]</w:t>
            </w:r>
          </w:p>
          <w:p>
            <w:pPr>
              <w:spacing w:after="60"/>
            </w:pPr>
            <w:r>
              <w:rPr>
                <w:rFonts w:ascii="Calibri" w:hAnsi="Calibri"/>
                <w:b w:val="0"/>
                <w:i w:val="0"/>
                <w:sz w:val="22"/>
              </w:rPr>
            </w:r>
          </w:p>
          <w:p>
            <w:pPr>
              <w:spacing w:after="60"/>
            </w:pPr>
            <w:r>
              <w:rPr>
                <w:rFonts w:ascii="Calibri" w:hAnsi="Calibri"/>
                <w:b w:val="0"/>
                <w:i w:val="0"/>
                <w:sz w:val="22"/>
              </w:rPr>
              <w:t>Signature: ______________________</w:t>
            </w:r>
          </w:p>
          <w:p>
            <w:pPr>
              <w:spacing w:after="60"/>
            </w:pPr>
            <w:r>
              <w:rPr>
                <w:rFonts w:ascii="Calibri" w:hAnsi="Calibri"/>
                <w:b w:val="0"/>
                <w:i w:val="0"/>
                <w:sz w:val="22"/>
              </w:rPr>
              <w:t>Name:  [•]</w:t>
            </w:r>
          </w:p>
          <w:p>
            <w:pPr>
              <w:spacing w:after="60"/>
            </w:pPr>
            <w:r>
              <w:rPr>
                <w:rFonts w:ascii="Calibri" w:hAnsi="Calibri"/>
                <w:b w:val="0"/>
                <w:i w:val="0"/>
                <w:sz w:val="22"/>
              </w:rPr>
              <w:t>Designation: [•]</w:t>
            </w:r>
          </w:p>
          <w:p>
            <w:pPr>
              <w:spacing w:after="60"/>
            </w:pPr>
            <w:r>
              <w:rPr>
                <w:rFonts w:ascii="Calibri" w:hAnsi="Calibri"/>
                <w:b w:val="0"/>
                <w:i w:val="0"/>
                <w:sz w:val="22"/>
              </w:rPr>
              <w:t>Date:  [•]</w:t>
            </w:r>
          </w:p>
        </w:tc>
      </w:tr>
    </w:tbl>
    <w:p>
      <w:r>
        <w:br/>
        <w:br w:type="page"/>
      </w:r>
    </w:p>
    <w:p>
      <w:pPr>
        <w:spacing w:after="200"/>
        <w:jc w:val="center"/>
      </w:pPr>
      <w:r>
        <w:rPr>
          <w:rFonts w:ascii="Calibri" w:hAnsi="Calibri"/>
          <w:b/>
          <w:i w:val="0"/>
          <w:sz w:val="28"/>
        </w:rPr>
        <w:t>EXHIBIT B — PRIOR IP DISCLOSURE SCHEDULE</w:t>
      </w:r>
    </w:p>
    <w:p>
      <w:pPr>
        <w:spacing w:after="120" w:before="0" w:line="276" w:lineRule="auto"/>
        <w:jc w:val="both"/>
      </w:pPr>
      <w:r>
        <w:rPr>
          <w:rFonts w:ascii="Calibri" w:hAnsi="Calibri"/>
          <w:b w:val="0"/>
          <w:i w:val="0"/>
          <w:sz w:val="22"/>
        </w:rPr>
        <w:t>The Consultant discloses the following items of Background IP / pre-existing Intellectual Property owned or controlled by the Consultant as on the Effective Date. The items listed below are NOT assigned to the Company under Clause 9 of the Agreement, but shall be subject to the licence-back in Clause 9.6 of the Agreement to the extent embedded in, or reasonably necessary to use, any Deliverable.</w:t>
      </w:r>
    </w:p>
    <w:p>
      <w:pPr>
        <w:spacing w:after="120" w:before="0" w:line="276" w:lineRule="auto"/>
        <w:jc w:val="both"/>
      </w:pPr>
      <w:r>
        <w:rPr>
          <w:rFonts w:ascii="Calibri" w:hAnsi="Calibri"/>
          <w:b w:val="0"/>
          <w:i/>
          <w:sz w:val="22"/>
        </w:rPr>
        <w:t>If no Background IP is to be disclosed, the Consultant shall mark the table below “NONE” and initial the same. The absence of disclosure shall be deemed a warranty by the Consultant that no Background IP of the Consultant shall be incorporated into any Deliverable.</w:t>
      </w:r>
    </w:p>
    <w:tbl>
      <w:tblPr>
        <w:tblW w:type="auto" w:w="0"/>
        <w:tblLayout w:type="fixed"/>
        <w:tblLook w:firstColumn="1" w:firstRow="1" w:lastColumn="0" w:lastRow="0" w:noHBand="0" w:noVBand="1" w:val="04A0"/>
      </w:tblPr>
      <w:tblGrid>
        <w:gridCol w:w="1504"/>
        <w:gridCol w:w="1504"/>
        <w:gridCol w:w="1504"/>
        <w:gridCol w:w="1504"/>
        <w:gridCol w:w="1504"/>
        <w:gridCol w:w="1504"/>
      </w:tblGrid>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i w:val="0"/>
                <w:sz w:val="20"/>
              </w:rPr>
              <w:t>S. No.</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i w:val="0"/>
                <w:sz w:val="20"/>
              </w:rPr>
              <w:t>Title / Description</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i w:val="0"/>
                <w:sz w:val="20"/>
              </w:rPr>
              <w:t>Type (Copyright / Patent / TM / Design / Know-how / Other)</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i w:val="0"/>
                <w:sz w:val="20"/>
              </w:rPr>
              <w:t>Date of creation / Registration no. (if any)</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i w:val="0"/>
                <w:sz w:val="20"/>
              </w:rPr>
              <w:t>Owner (Consultant / Third Party with consent)</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i w:val="0"/>
                <w:sz w:val="20"/>
              </w:rPr>
              <w:t>Notes / Intended use in Deliverables</w:t>
            </w:r>
          </w:p>
        </w:tc>
      </w:tr>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r>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r>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r>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r>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r>
      <w:tr>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c>
          <w:tcPr>
            <w:tcW w:type="dxa" w:w="1504"/>
            <w:tcBorders>
              <w:top w:val="single" w:sz="4" w:space="0" w:color="000000"/>
              <w:left w:val="single" w:sz="4" w:space="0" w:color="000000"/>
              <w:bottom w:val="single" w:sz="4" w:space="0" w:color="000000"/>
              <w:right w:val="single" w:sz="4" w:space="0" w:color="000000"/>
            </w:tcBorders>
          </w:tcPr>
          <w:p>
            <w:r/>
            <w:r>
              <w:rPr>
                <w:rFonts w:ascii="Calibri" w:hAnsi="Calibri"/>
                <w:b w:val="0"/>
                <w:i w:val="0"/>
                <w:sz w:val="20"/>
              </w:rPr>
              <w:t xml:space="preserve"> </w:t>
            </w:r>
          </w:p>
        </w:tc>
      </w:tr>
    </w:tbl>
    <w:p>
      <w:pPr>
        <w:spacing w:after="120" w:before="200" w:line="276" w:lineRule="auto"/>
        <w:jc w:val="both"/>
      </w:pPr>
    </w:p>
    <w:p>
      <w:pPr>
        <w:spacing w:after="120" w:before="0" w:line="276" w:lineRule="auto"/>
        <w:jc w:val="both"/>
      </w:pPr>
      <w:r>
        <w:rPr>
          <w:rFonts w:ascii="Calibri" w:hAnsi="Calibri"/>
          <w:b w:val="0"/>
          <w:i w:val="0"/>
          <w:sz w:val="22"/>
        </w:rPr>
        <w:t>Declaration: I / We hereby declare that the information set out above is true, complete and correct as on the Effective Date, and that the Consultant has full right and authority to grant the licence-back contemplated under Clause 9.6 of the Agreement in respect of the items so disclosed.</w:t>
      </w:r>
    </w:p>
    <w:p>
      <w:pPr>
        <w:spacing w:after="120" w:before="200" w:line="276" w:lineRule="auto"/>
        <w:jc w:val="both"/>
      </w:pPr>
    </w:p>
    <w:p>
      <w:pPr>
        <w:spacing w:after="120" w:before="0" w:line="276" w:lineRule="auto"/>
        <w:jc w:val="both"/>
      </w:pPr>
      <w:r>
        <w:rPr>
          <w:rFonts w:ascii="Calibri" w:hAnsi="Calibri"/>
          <w:b/>
          <w:i w:val="0"/>
          <w:sz w:val="22"/>
        </w:rPr>
        <w:t>Signed for the Consultant:</w:t>
      </w:r>
    </w:p>
    <w:p>
      <w:pPr>
        <w:spacing w:after="120" w:before="0" w:line="276" w:lineRule="auto"/>
        <w:jc w:val="both"/>
      </w:pPr>
      <w:r>
        <w:rPr>
          <w:rFonts w:ascii="Calibri" w:hAnsi="Calibri"/>
          <w:b w:val="0"/>
          <w:i w:val="0"/>
          <w:sz w:val="22"/>
        </w:rPr>
        <w:t>Signature: ______________________     Date: __________________</w:t>
      </w:r>
    </w:p>
    <w:p>
      <w:pPr>
        <w:spacing w:after="120" w:before="0" w:line="276" w:lineRule="auto"/>
        <w:jc w:val="both"/>
      </w:pPr>
      <w:r>
        <w:rPr>
          <w:rFonts w:ascii="Calibri" w:hAnsi="Calibri"/>
          <w:b w:val="0"/>
          <w:i w:val="0"/>
          <w:sz w:val="22"/>
        </w:rPr>
        <w:t>Name:   [CONSULTANT NAME / AUTHORISED SIGNATORY]</w:t>
      </w:r>
    </w:p>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sz w:val="18"/>
      </w:rPr>
      <w:t xml:space="preserve">Confidential — AnantaSutra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