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1441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Business Summary Report: Predictive Insights for Collections Strategy</w:t>
      </w:r>
    </w:p>
    <w:p w14:paraId="0138C19C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pict w14:anchorId="660AB4CE">
          <v:rect id="_x0000_i1057" style="width:0;height:1.5pt" o:hralign="center" o:hrstd="t" o:hr="t" fillcolor="#a0a0a0" stroked="f"/>
        </w:pict>
      </w:r>
    </w:p>
    <w:p w14:paraId="79681DCB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1. Summary of Predictive Insights</w:t>
      </w:r>
    </w:p>
    <w:p w14:paraId="2A4BF9E1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t xml:space="preserve">Analysis of </w:t>
      </w:r>
      <w:proofErr w:type="spellStart"/>
      <w:r w:rsidRPr="00C925B6">
        <w:rPr>
          <w:i w:val="0"/>
          <w:iCs w:val="0"/>
          <w:lang w:val="en-IN"/>
        </w:rPr>
        <w:t>Geldium’s</w:t>
      </w:r>
      <w:proofErr w:type="spellEnd"/>
      <w:r w:rsidRPr="00C925B6">
        <w:rPr>
          <w:i w:val="0"/>
          <w:iCs w:val="0"/>
          <w:lang w:val="en-IN"/>
        </w:rPr>
        <w:t xml:space="preserve"> customer dataset and predictive </w:t>
      </w:r>
      <w:proofErr w:type="spellStart"/>
      <w:r w:rsidRPr="00C925B6">
        <w:rPr>
          <w:i w:val="0"/>
          <w:iCs w:val="0"/>
          <w:lang w:val="en-IN"/>
        </w:rPr>
        <w:t>modeling</w:t>
      </w:r>
      <w:proofErr w:type="spellEnd"/>
      <w:r w:rsidRPr="00C925B6">
        <w:rPr>
          <w:i w:val="0"/>
          <w:iCs w:val="0"/>
          <w:lang w:val="en-IN"/>
        </w:rPr>
        <w:t xml:space="preserve"> framework highlights clear drivers of delinquency risk across customer segments. The model and EDA together indicate that delinquency is primarily influenced by financial stress indicators and prior repayment </w:t>
      </w:r>
      <w:proofErr w:type="spellStart"/>
      <w:r w:rsidRPr="00C925B6">
        <w:rPr>
          <w:i w:val="0"/>
          <w:iCs w:val="0"/>
          <w:lang w:val="en-IN"/>
        </w:rPr>
        <w:t>behavior</w:t>
      </w:r>
      <w:proofErr w:type="spellEnd"/>
      <w:r w:rsidRPr="00C925B6">
        <w:rPr>
          <w:i w:val="0"/>
          <w:iCs w:val="0"/>
          <w:lang w:val="en-IN"/>
        </w:rPr>
        <w:t>.</w:t>
      </w:r>
    </w:p>
    <w:p w14:paraId="3FBDEB01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Top 3 Risk Factors</w:t>
      </w:r>
    </w:p>
    <w:p w14:paraId="73ED5D07" w14:textId="77777777" w:rsidR="00C925B6" w:rsidRPr="00C925B6" w:rsidRDefault="00C925B6" w:rsidP="00C925B6">
      <w:pPr>
        <w:numPr>
          <w:ilvl w:val="0"/>
          <w:numId w:val="12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Missed Payments:</w:t>
      </w:r>
      <w:r w:rsidRPr="00C925B6">
        <w:rPr>
          <w:i w:val="0"/>
          <w:iCs w:val="0"/>
          <w:lang w:val="en-IN"/>
        </w:rPr>
        <w:t xml:space="preserve"> Customers with a history of missed payments show the highest likelihood of delinquency, making this the strongest </w:t>
      </w:r>
      <w:proofErr w:type="spellStart"/>
      <w:r w:rsidRPr="00C925B6">
        <w:rPr>
          <w:i w:val="0"/>
          <w:iCs w:val="0"/>
          <w:lang w:val="en-IN"/>
        </w:rPr>
        <w:t>behavioral</w:t>
      </w:r>
      <w:proofErr w:type="spellEnd"/>
      <w:r w:rsidRPr="00C925B6">
        <w:rPr>
          <w:i w:val="0"/>
          <w:iCs w:val="0"/>
          <w:lang w:val="en-IN"/>
        </w:rPr>
        <w:t xml:space="preserve"> predictor.</w:t>
      </w:r>
    </w:p>
    <w:p w14:paraId="7416C34F" w14:textId="77777777" w:rsidR="00C925B6" w:rsidRPr="00C925B6" w:rsidRDefault="00C925B6" w:rsidP="00C925B6">
      <w:pPr>
        <w:numPr>
          <w:ilvl w:val="0"/>
          <w:numId w:val="12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High Credit Utilization:</w:t>
      </w:r>
      <w:r w:rsidRPr="00C925B6">
        <w:rPr>
          <w:i w:val="0"/>
          <w:iCs w:val="0"/>
          <w:lang w:val="en-IN"/>
        </w:rPr>
        <w:t xml:space="preserve"> Customers using a large proportion of their available credit are significantly more likely to become delinquent.</w:t>
      </w:r>
    </w:p>
    <w:p w14:paraId="284FB1F3" w14:textId="77777777" w:rsidR="00C925B6" w:rsidRPr="00C925B6" w:rsidRDefault="00C925B6" w:rsidP="00C925B6">
      <w:pPr>
        <w:numPr>
          <w:ilvl w:val="0"/>
          <w:numId w:val="12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High Debt-to-Income Ratio (DTI):</w:t>
      </w:r>
      <w:r w:rsidRPr="00C925B6">
        <w:rPr>
          <w:i w:val="0"/>
          <w:iCs w:val="0"/>
          <w:lang w:val="en-IN"/>
        </w:rPr>
        <w:t xml:space="preserve"> Elevated DTI ratios indicate affordability stress and strongly correlate with delinquency risk.</w:t>
      </w:r>
    </w:p>
    <w:p w14:paraId="146A81AF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t>These risk factors consistently separate high-risk and low-risk customers and can be used for early identification and intervention.</w:t>
      </w:r>
    </w:p>
    <w:p w14:paraId="54FDD836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pict w14:anchorId="43C72EE2">
          <v:rect id="_x0000_i1058" style="width:0;height:1.5pt" o:hralign="center" o:hrstd="t" o:hr="t" fillcolor="#a0a0a0" stroked="f"/>
        </w:pict>
      </w:r>
    </w:p>
    <w:p w14:paraId="295C6DF4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Key Insights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166"/>
        <w:gridCol w:w="2493"/>
        <w:gridCol w:w="2043"/>
      </w:tblGrid>
      <w:tr w:rsidR="00C925B6" w:rsidRPr="00C925B6" w14:paraId="5FD93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2F76A" w14:textId="77777777" w:rsidR="00C925B6" w:rsidRPr="00C925B6" w:rsidRDefault="00C925B6" w:rsidP="00C925B6">
            <w:pPr>
              <w:rPr>
                <w:b/>
                <w:bCs/>
                <w:i w:val="0"/>
                <w:iCs w:val="0"/>
                <w:lang w:val="en-IN"/>
              </w:rPr>
            </w:pPr>
            <w:r w:rsidRPr="00C925B6">
              <w:rPr>
                <w:b/>
                <w:bCs/>
                <w:i w:val="0"/>
                <w:iCs w:val="0"/>
                <w:lang w:val="en-IN"/>
              </w:rPr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590A8C2D" w14:textId="77777777" w:rsidR="00C925B6" w:rsidRPr="00C925B6" w:rsidRDefault="00C925B6" w:rsidP="00C925B6">
            <w:pPr>
              <w:rPr>
                <w:b/>
                <w:bCs/>
                <w:i w:val="0"/>
                <w:iCs w:val="0"/>
                <w:lang w:val="en-IN"/>
              </w:rPr>
            </w:pPr>
            <w:r w:rsidRPr="00C925B6">
              <w:rPr>
                <w:b/>
                <w:bCs/>
                <w:i w:val="0"/>
                <w:iCs w:val="0"/>
                <w:lang w:val="en-IN"/>
              </w:rPr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04B07F0E" w14:textId="77777777" w:rsidR="00C925B6" w:rsidRPr="00C925B6" w:rsidRDefault="00C925B6" w:rsidP="00C925B6">
            <w:pPr>
              <w:rPr>
                <w:b/>
                <w:bCs/>
                <w:i w:val="0"/>
                <w:iCs w:val="0"/>
                <w:lang w:val="en-IN"/>
              </w:rPr>
            </w:pPr>
            <w:r w:rsidRPr="00C925B6">
              <w:rPr>
                <w:b/>
                <w:bCs/>
                <w:i w:val="0"/>
                <w:iCs w:val="0"/>
                <w:lang w:val="en-IN"/>
              </w:rPr>
              <w:t>Influencing Variables</w:t>
            </w:r>
          </w:p>
        </w:tc>
        <w:tc>
          <w:tcPr>
            <w:tcW w:w="0" w:type="auto"/>
            <w:vAlign w:val="center"/>
            <w:hideMark/>
          </w:tcPr>
          <w:p w14:paraId="0206F45C" w14:textId="77777777" w:rsidR="00C925B6" w:rsidRPr="00C925B6" w:rsidRDefault="00C925B6" w:rsidP="00C925B6">
            <w:pPr>
              <w:rPr>
                <w:b/>
                <w:bCs/>
                <w:i w:val="0"/>
                <w:iCs w:val="0"/>
                <w:lang w:val="en-IN"/>
              </w:rPr>
            </w:pPr>
            <w:r w:rsidRPr="00C925B6">
              <w:rPr>
                <w:b/>
                <w:bCs/>
                <w:i w:val="0"/>
                <w:iCs w:val="0"/>
                <w:lang w:val="en-IN"/>
              </w:rPr>
              <w:t>Potential Impact</w:t>
            </w:r>
          </w:p>
        </w:tc>
      </w:tr>
      <w:tr w:rsidR="00C925B6" w:rsidRPr="00C925B6" w14:paraId="70A9A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E6DF1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High delinquency driven by financial stress</w:t>
            </w:r>
          </w:p>
        </w:tc>
        <w:tc>
          <w:tcPr>
            <w:tcW w:w="0" w:type="auto"/>
            <w:vAlign w:val="center"/>
            <w:hideMark/>
          </w:tcPr>
          <w:p w14:paraId="523C8D64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Customers with high credit utilization and high DTI</w:t>
            </w:r>
          </w:p>
        </w:tc>
        <w:tc>
          <w:tcPr>
            <w:tcW w:w="0" w:type="auto"/>
            <w:vAlign w:val="center"/>
            <w:hideMark/>
          </w:tcPr>
          <w:p w14:paraId="7809232B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proofErr w:type="spellStart"/>
            <w:r w:rsidRPr="00C925B6">
              <w:rPr>
                <w:i w:val="0"/>
                <w:iCs w:val="0"/>
                <w:lang w:val="en-IN"/>
              </w:rPr>
              <w:t>Credit_Utilization</w:t>
            </w:r>
            <w:proofErr w:type="spellEnd"/>
            <w:r w:rsidRPr="00C925B6">
              <w:rPr>
                <w:i w:val="0"/>
                <w:iCs w:val="0"/>
                <w:lang w:val="en-IN"/>
              </w:rPr>
              <w:t xml:space="preserve">, </w:t>
            </w:r>
            <w:proofErr w:type="spellStart"/>
            <w:r w:rsidRPr="00C925B6">
              <w:rPr>
                <w:i w:val="0"/>
                <w:iCs w:val="0"/>
                <w:lang w:val="en-IN"/>
              </w:rPr>
              <w:t>Debt_to_Income_Ratio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733C4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Enables early intervention before default</w:t>
            </w:r>
          </w:p>
        </w:tc>
      </w:tr>
      <w:tr w:rsidR="00C925B6" w:rsidRPr="00C925B6" w14:paraId="089C4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A573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proofErr w:type="spellStart"/>
            <w:r w:rsidRPr="00C925B6">
              <w:rPr>
                <w:i w:val="0"/>
                <w:iCs w:val="0"/>
                <w:lang w:val="en-IN"/>
              </w:rPr>
              <w:t>Behavioral</w:t>
            </w:r>
            <w:proofErr w:type="spellEnd"/>
            <w:r w:rsidRPr="00C925B6">
              <w:rPr>
                <w:i w:val="0"/>
                <w:iCs w:val="0"/>
                <w:lang w:val="en-IN"/>
              </w:rPr>
              <w:t xml:space="preserve"> signals strongly predict risk</w:t>
            </w:r>
          </w:p>
        </w:tc>
        <w:tc>
          <w:tcPr>
            <w:tcW w:w="0" w:type="auto"/>
            <w:vAlign w:val="center"/>
            <w:hideMark/>
          </w:tcPr>
          <w:p w14:paraId="1FBB0738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Customers with missed payments</w:t>
            </w:r>
          </w:p>
        </w:tc>
        <w:tc>
          <w:tcPr>
            <w:tcW w:w="0" w:type="auto"/>
            <w:vAlign w:val="center"/>
            <w:hideMark/>
          </w:tcPr>
          <w:p w14:paraId="6510AC09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proofErr w:type="spellStart"/>
            <w:r w:rsidRPr="00C925B6">
              <w:rPr>
                <w:i w:val="0"/>
                <w:iCs w:val="0"/>
                <w:lang w:val="en-IN"/>
              </w:rPr>
              <w:t>Missed_Payments</w:t>
            </w:r>
            <w:proofErr w:type="spellEnd"/>
            <w:r w:rsidRPr="00C925B6">
              <w:rPr>
                <w:i w:val="0"/>
                <w:iCs w:val="0"/>
                <w:lang w:val="en-IN"/>
              </w:rPr>
              <w:t xml:space="preserve">, </w:t>
            </w:r>
            <w:proofErr w:type="spellStart"/>
            <w:r w:rsidRPr="00C925B6">
              <w:rPr>
                <w:i w:val="0"/>
                <w:iCs w:val="0"/>
                <w:lang w:val="en-IN"/>
              </w:rPr>
              <w:t>Account_Tenure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4B40E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Proactive collections outreach</w:t>
            </w:r>
          </w:p>
        </w:tc>
      </w:tr>
      <w:tr w:rsidR="00C925B6" w:rsidRPr="00C925B6" w14:paraId="3EA4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02A4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Credit history remains a core indicator</w:t>
            </w:r>
          </w:p>
        </w:tc>
        <w:tc>
          <w:tcPr>
            <w:tcW w:w="0" w:type="auto"/>
            <w:vAlign w:val="center"/>
            <w:hideMark/>
          </w:tcPr>
          <w:p w14:paraId="76F33487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Customers with low credit scores</w:t>
            </w:r>
          </w:p>
        </w:tc>
        <w:tc>
          <w:tcPr>
            <w:tcW w:w="0" w:type="auto"/>
            <w:vAlign w:val="center"/>
            <w:hideMark/>
          </w:tcPr>
          <w:p w14:paraId="6B330F0F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proofErr w:type="spellStart"/>
            <w:r w:rsidRPr="00C925B6">
              <w:rPr>
                <w:i w:val="0"/>
                <w:iCs w:val="0"/>
                <w:lang w:val="en-IN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5A192" w14:textId="77777777" w:rsidR="00C925B6" w:rsidRPr="00C925B6" w:rsidRDefault="00C925B6" w:rsidP="00C925B6">
            <w:pPr>
              <w:rPr>
                <w:i w:val="0"/>
                <w:iCs w:val="0"/>
                <w:lang w:val="en-IN"/>
              </w:rPr>
            </w:pPr>
            <w:r w:rsidRPr="00C925B6">
              <w:rPr>
                <w:i w:val="0"/>
                <w:iCs w:val="0"/>
                <w:lang w:val="en-IN"/>
              </w:rPr>
              <w:t>Improved risk-based segmentation</w:t>
            </w:r>
          </w:p>
        </w:tc>
      </w:tr>
    </w:tbl>
    <w:p w14:paraId="3968ADCC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pict w14:anchorId="4B5E6B18">
          <v:rect id="_x0000_i1059" style="width:0;height:1.5pt" o:hralign="center" o:hrstd="t" o:hr="t" fillcolor="#a0a0a0" stroked="f"/>
        </w:pict>
      </w:r>
    </w:p>
    <w:p w14:paraId="7FE02C85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2. Recommendation Framework</w:t>
      </w:r>
    </w:p>
    <w:p w14:paraId="5618DA1C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Restated Insight</w:t>
      </w:r>
    </w:p>
    <w:p w14:paraId="12743E50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t>Customers with high credit utilization and elevated debt-to-income ratios are significantly more likely to become delinquent.</w:t>
      </w:r>
    </w:p>
    <w:p w14:paraId="10874A3F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Proposed Recommendation (SMART Framework)</w:t>
      </w:r>
    </w:p>
    <w:p w14:paraId="31381BCB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lastRenderedPageBreak/>
        <w:t>Specific:</w:t>
      </w:r>
      <w:r w:rsidRPr="00C925B6">
        <w:rPr>
          <w:i w:val="0"/>
          <w:iCs w:val="0"/>
          <w:lang w:val="en-IN"/>
        </w:rPr>
        <w:br/>
        <w:t>Implement proactive outreach for customers whose credit utilization exceeds 70% and whose DTI ratio is above the portfolio median.</w:t>
      </w:r>
    </w:p>
    <w:p w14:paraId="508F0A78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Measurable:</w:t>
      </w:r>
      <w:r w:rsidRPr="00C925B6">
        <w:rPr>
          <w:i w:val="0"/>
          <w:iCs w:val="0"/>
          <w:lang w:val="en-IN"/>
        </w:rPr>
        <w:br/>
        <w:t xml:space="preserve">Reduce delinquency rates within this customer segment by </w:t>
      </w:r>
      <w:r w:rsidRPr="00C925B6">
        <w:rPr>
          <w:b/>
          <w:bCs/>
          <w:i w:val="0"/>
          <w:iCs w:val="0"/>
          <w:lang w:val="en-IN"/>
        </w:rPr>
        <w:t>at least 10%</w:t>
      </w:r>
      <w:r w:rsidRPr="00C925B6">
        <w:rPr>
          <w:i w:val="0"/>
          <w:iCs w:val="0"/>
          <w:lang w:val="en-IN"/>
        </w:rPr>
        <w:t>.</w:t>
      </w:r>
    </w:p>
    <w:p w14:paraId="1A9181A0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Actionable:</w:t>
      </w:r>
      <w:r w:rsidRPr="00C925B6">
        <w:rPr>
          <w:i w:val="0"/>
          <w:iCs w:val="0"/>
          <w:lang w:val="en-IN"/>
        </w:rPr>
        <w:br/>
        <w:t>Use existing customer data to trigger automated alerts and personalized communication from the collections team.</w:t>
      </w:r>
    </w:p>
    <w:p w14:paraId="5B269D68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Relevant:</w:t>
      </w:r>
      <w:r w:rsidRPr="00C925B6">
        <w:rPr>
          <w:i w:val="0"/>
          <w:iCs w:val="0"/>
          <w:lang w:val="en-IN"/>
        </w:rPr>
        <w:br/>
        <w:t xml:space="preserve">The recommendation directly addresses early indicators of financial stress and aligns with </w:t>
      </w:r>
      <w:proofErr w:type="spellStart"/>
      <w:r w:rsidRPr="00C925B6">
        <w:rPr>
          <w:i w:val="0"/>
          <w:iCs w:val="0"/>
          <w:lang w:val="en-IN"/>
        </w:rPr>
        <w:t>Geldium’s</w:t>
      </w:r>
      <w:proofErr w:type="spellEnd"/>
      <w:r w:rsidRPr="00C925B6">
        <w:rPr>
          <w:i w:val="0"/>
          <w:iCs w:val="0"/>
          <w:lang w:val="en-IN"/>
        </w:rPr>
        <w:t xml:space="preserve"> objective of reducing delinquency while maintaining customer relationships.</w:t>
      </w:r>
    </w:p>
    <w:p w14:paraId="73718727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Time-bound:</w:t>
      </w:r>
      <w:r w:rsidRPr="00C925B6">
        <w:rPr>
          <w:i w:val="0"/>
          <w:iCs w:val="0"/>
          <w:lang w:val="en-IN"/>
        </w:rPr>
        <w:br/>
        <w:t xml:space="preserve">Pilot the intervention over a </w:t>
      </w:r>
      <w:r w:rsidRPr="00C925B6">
        <w:rPr>
          <w:b/>
          <w:bCs/>
          <w:i w:val="0"/>
          <w:iCs w:val="0"/>
          <w:lang w:val="en-IN"/>
        </w:rPr>
        <w:t>six-month period</w:t>
      </w:r>
      <w:r w:rsidRPr="00C925B6">
        <w:rPr>
          <w:i w:val="0"/>
          <w:iCs w:val="0"/>
          <w:lang w:val="en-IN"/>
        </w:rPr>
        <w:t>, with monthly monitoring of outcomes.</w:t>
      </w:r>
    </w:p>
    <w:p w14:paraId="655AE458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Justification and Business Rationale</w:t>
      </w:r>
    </w:p>
    <w:p w14:paraId="6AF6E380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t xml:space="preserve">Early identification of financially stressed customers allows </w:t>
      </w:r>
      <w:proofErr w:type="spellStart"/>
      <w:r w:rsidRPr="00C925B6">
        <w:rPr>
          <w:i w:val="0"/>
          <w:iCs w:val="0"/>
          <w:lang w:val="en-IN"/>
        </w:rPr>
        <w:t>Geldium</w:t>
      </w:r>
      <w:proofErr w:type="spellEnd"/>
      <w:r w:rsidRPr="00C925B6">
        <w:rPr>
          <w:i w:val="0"/>
          <w:iCs w:val="0"/>
          <w:lang w:val="en-IN"/>
        </w:rPr>
        <w:t xml:space="preserve"> to intervene before accounts deteriorate into serious delinquency. Proactive engagement is cost-effective, reduces downstream losses, and supports responsible credit management while preserving long-term customer value.</w:t>
      </w:r>
    </w:p>
    <w:p w14:paraId="1C82960B" w14:textId="77777777" w:rsidR="00C925B6" w:rsidRPr="00C925B6" w:rsidRDefault="00C925B6" w:rsidP="00C925B6">
      <w:pPr>
        <w:rPr>
          <w:i w:val="0"/>
          <w:iCs w:val="0"/>
          <w:lang w:val="en-IN"/>
        </w:rPr>
      </w:pPr>
      <w:r w:rsidRPr="00C925B6">
        <w:rPr>
          <w:i w:val="0"/>
          <w:iCs w:val="0"/>
          <w:lang w:val="en-IN"/>
        </w:rPr>
        <w:pict w14:anchorId="003F4D24">
          <v:rect id="_x0000_i1060" style="width:0;height:1.5pt" o:hralign="center" o:hrstd="t" o:hr="t" fillcolor="#a0a0a0" stroked="f"/>
        </w:pict>
      </w:r>
    </w:p>
    <w:p w14:paraId="58C2F73E" w14:textId="77777777" w:rsidR="00C925B6" w:rsidRPr="00C925B6" w:rsidRDefault="00C925B6" w:rsidP="00C925B6">
      <w:pPr>
        <w:rPr>
          <w:b/>
          <w:bCs/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3. Ethical and Responsible AI Considerations</w:t>
      </w:r>
    </w:p>
    <w:p w14:paraId="4A93D7CB" w14:textId="77777777" w:rsidR="00C925B6" w:rsidRPr="00C925B6" w:rsidRDefault="00C925B6" w:rsidP="00C925B6">
      <w:pPr>
        <w:numPr>
          <w:ilvl w:val="0"/>
          <w:numId w:val="13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Fairness Risk:</w:t>
      </w:r>
      <w:r w:rsidRPr="00C925B6">
        <w:rPr>
          <w:i w:val="0"/>
          <w:iCs w:val="0"/>
          <w:lang w:val="en-IN"/>
        </w:rPr>
        <w:t xml:space="preserve"> Certain income groups or locations may appear disproportionately high-risk. This risk can be mitigated by routinely monitoring model performance across customer segments and adjusting thresholds where necessary.</w:t>
      </w:r>
    </w:p>
    <w:p w14:paraId="24CA7185" w14:textId="77777777" w:rsidR="00C925B6" w:rsidRPr="00C925B6" w:rsidRDefault="00C925B6" w:rsidP="00C925B6">
      <w:pPr>
        <w:numPr>
          <w:ilvl w:val="0"/>
          <w:numId w:val="13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Explainability:</w:t>
      </w:r>
      <w:r w:rsidRPr="00C925B6">
        <w:rPr>
          <w:i w:val="0"/>
          <w:iCs w:val="0"/>
          <w:lang w:val="en-IN"/>
        </w:rPr>
        <w:t xml:space="preserve"> The use of logistic regression enables transparent explanations of why a customer is flagged as high risk, supporting trust and regulatory compliance.</w:t>
      </w:r>
    </w:p>
    <w:p w14:paraId="0571CEF1" w14:textId="77777777" w:rsidR="00C925B6" w:rsidRPr="00C925B6" w:rsidRDefault="00C925B6" w:rsidP="00C925B6">
      <w:pPr>
        <w:numPr>
          <w:ilvl w:val="0"/>
          <w:numId w:val="13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Responsible Use:</w:t>
      </w:r>
      <w:r w:rsidRPr="00C925B6">
        <w:rPr>
          <w:i w:val="0"/>
          <w:iCs w:val="0"/>
          <w:lang w:val="en-IN"/>
        </w:rPr>
        <w:t xml:space="preserve"> The model is designed to enable early, supportive interventions rather than punitive actions, promoting ethical and customer-centric collections practices.</w:t>
      </w:r>
    </w:p>
    <w:p w14:paraId="7A1C9BEF" w14:textId="77777777" w:rsidR="00C925B6" w:rsidRPr="00C925B6" w:rsidRDefault="00C925B6" w:rsidP="00C925B6">
      <w:pPr>
        <w:numPr>
          <w:ilvl w:val="0"/>
          <w:numId w:val="13"/>
        </w:numPr>
        <w:rPr>
          <w:i w:val="0"/>
          <w:iCs w:val="0"/>
          <w:lang w:val="en-IN"/>
        </w:rPr>
      </w:pPr>
      <w:r w:rsidRPr="00C925B6">
        <w:rPr>
          <w:b/>
          <w:bCs/>
          <w:i w:val="0"/>
          <w:iCs w:val="0"/>
          <w:lang w:val="en-IN"/>
        </w:rPr>
        <w:t>Data Privacy:</w:t>
      </w:r>
      <w:r w:rsidRPr="00C925B6">
        <w:rPr>
          <w:i w:val="0"/>
          <w:iCs w:val="0"/>
          <w:lang w:val="en-IN"/>
        </w:rPr>
        <w:t xml:space="preserve"> All predictions rely solely on internal customer data and adhere to existing data governance and privacy standards.</w:t>
      </w:r>
    </w:p>
    <w:p w14:paraId="48040541" w14:textId="372F5DD0" w:rsidR="009412A6" w:rsidRPr="00C925B6" w:rsidRDefault="009412A6" w:rsidP="00C925B6">
      <w:pPr>
        <w:rPr>
          <w:i w:val="0"/>
          <w:iCs w:val="0"/>
        </w:rPr>
      </w:pPr>
    </w:p>
    <w:sectPr w:rsidR="009412A6" w:rsidRPr="00C925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B5A0C"/>
    <w:multiLevelType w:val="multilevel"/>
    <w:tmpl w:val="A8D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7A3DCF"/>
    <w:multiLevelType w:val="multilevel"/>
    <w:tmpl w:val="C50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1348E"/>
    <w:multiLevelType w:val="multilevel"/>
    <w:tmpl w:val="E2E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54BDF"/>
    <w:multiLevelType w:val="multilevel"/>
    <w:tmpl w:val="DB28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9383">
    <w:abstractNumId w:val="8"/>
  </w:num>
  <w:num w:numId="2" w16cid:durableId="881285317">
    <w:abstractNumId w:val="6"/>
  </w:num>
  <w:num w:numId="3" w16cid:durableId="123279643">
    <w:abstractNumId w:val="5"/>
  </w:num>
  <w:num w:numId="4" w16cid:durableId="1437209986">
    <w:abstractNumId w:val="4"/>
  </w:num>
  <w:num w:numId="5" w16cid:durableId="364448531">
    <w:abstractNumId w:val="7"/>
  </w:num>
  <w:num w:numId="6" w16cid:durableId="466437503">
    <w:abstractNumId w:val="3"/>
  </w:num>
  <w:num w:numId="7" w16cid:durableId="11542695">
    <w:abstractNumId w:val="2"/>
  </w:num>
  <w:num w:numId="8" w16cid:durableId="1231036312">
    <w:abstractNumId w:val="1"/>
  </w:num>
  <w:num w:numId="9" w16cid:durableId="422261601">
    <w:abstractNumId w:val="0"/>
  </w:num>
  <w:num w:numId="10" w16cid:durableId="1168442665">
    <w:abstractNumId w:val="10"/>
  </w:num>
  <w:num w:numId="11" w16cid:durableId="892689810">
    <w:abstractNumId w:val="11"/>
  </w:num>
  <w:num w:numId="12" w16cid:durableId="1422222046">
    <w:abstractNumId w:val="12"/>
  </w:num>
  <w:num w:numId="13" w16cid:durableId="15666439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EE7"/>
    <w:rsid w:val="008237CA"/>
    <w:rsid w:val="008E6BD4"/>
    <w:rsid w:val="009412A6"/>
    <w:rsid w:val="00AA1D8D"/>
    <w:rsid w:val="00B47730"/>
    <w:rsid w:val="00C925B6"/>
    <w:rsid w:val="00CB0664"/>
    <w:rsid w:val="00EF5ECD"/>
    <w:rsid w:val="00F70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60731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BD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6BD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BD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BD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D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D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D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D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D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D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8E6BD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E6BD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8E6BD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E6BD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8E6BD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E6BD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D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6BD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E6BD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E6BD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8E6BD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D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D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D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D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D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D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6BD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8E6BD4"/>
    <w:rPr>
      <w:b/>
      <w:bCs/>
      <w:spacing w:val="0"/>
    </w:rPr>
  </w:style>
  <w:style w:type="character" w:styleId="Emphasis">
    <w:name w:val="Emphasis"/>
    <w:uiPriority w:val="20"/>
    <w:qFormat/>
    <w:rsid w:val="008E6BD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D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D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8E6BD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8E6BD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8E6BD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8E6BD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8E6BD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6BD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Lakhani</cp:lastModifiedBy>
  <cp:revision>4</cp:revision>
  <dcterms:created xsi:type="dcterms:W3CDTF">2013-12-23T23:15:00Z</dcterms:created>
  <dcterms:modified xsi:type="dcterms:W3CDTF">2025-12-27T07:28:00Z</dcterms:modified>
  <cp:category/>
</cp:coreProperties>
</file>