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pPr>
      <w:r>
        <w:rPr>
          <w:b/>
          <w:color w:val="0D9488"/>
          <w:sz w:val="72"/>
        </w:rPr>
        <w:t>CiviCare</w:t>
      </w:r>
    </w:p>
    <w:p>
      <w:pPr>
        <w:spacing w:after="480"/>
      </w:pPr>
      <w:r>
        <w:rPr>
          <w:b/>
          <w:color w:val="0F172A"/>
          <w:sz w:val="32"/>
        </w:rPr>
        <w:t>Community First Responder Readiness &amp; Coordination System</w:t>
        <w:br/>
      </w:r>
      <w:r>
        <w:rPr>
          <w:i/>
          <w:color w:val="475569"/>
          <w:sz w:val="24"/>
        </w:rPr>
        <w:t>A Database-Centric Spatial Framework for Coverage-Aware Volunteer Emergency Allocation in Urban Environments</w:t>
      </w:r>
    </w:p>
    <w:p>
      <w:pPr>
        <w:spacing w:after="800"/>
      </w:pPr>
      <w:r>
        <w:rPr>
          <w:color w:val="0D9488"/>
        </w:rPr>
        <w:t>――――――――――――――――――――――――――――――――――――――――――</w:t>
      </w:r>
    </w:p>
    <w:p>
      <w:pPr>
        <w:spacing w:line="312" w:lineRule="auto" w:after="2000"/>
      </w:pPr>
      <w:r>
        <w:rPr>
          <w:b/>
          <w:sz w:val="22"/>
        </w:rPr>
        <w:t>Academic DBMS Course Project Report • Chennai Metropolitan Area Prototype</w:t>
        <w:br/>
      </w:r>
      <w:r>
        <w:rPr>
          <w:color w:val="475569"/>
          <w:sz w:val="20"/>
        </w:rPr>
        <w:t>Database Engine: PostgreSQL (Relational 3NF with ACID Concurrency)</w:t>
        <w:br/>
        <w:t>Architecture: Node.js, Express REST API, React 18, Vite, Leaflet OpenStreetMap</w:t>
        <w:br/>
        <w:t>Focus: Emergency Response Support System (India 112 Complementary Coordination)</w:t>
        <w:br/>
        <w:t>Date: October 2026</w:t>
        <w:br/>
        <w:t>Document Version: 1.0 Final</w:t>
      </w:r>
    </w:p>
    <w:p>
      <w:r>
        <w:br w:type="page"/>
      </w:r>
    </w:p>
    <w:p>
      <w:r>
        <w:rPr>
          <w:b/>
          <w:color w:val="0F172A"/>
          <w:sz w:val="36"/>
        </w:rPr>
        <w:t>Table of Contents</w:t>
      </w:r>
    </w:p>
    <w:p>
      <w:pPr>
        <w:spacing w:after="80"/>
      </w:pPr>
      <w:r>
        <w:rPr>
          <w:sz w:val="20"/>
        </w:rPr>
        <w:t>1. Executive Summary &amp; Problem Formulation</w:t>
      </w:r>
      <w:r>
        <w:rPr>
          <w:color w:val="CBD5E1"/>
          <w:sz w:val="18"/>
        </w:rPr>
        <w:t xml:space="preserve"> ................................. </w:t>
      </w:r>
      <w:r>
        <w:rPr>
          <w:b/>
          <w:sz w:val="20"/>
        </w:rPr>
        <w:t>3</w:t>
      </w:r>
    </w:p>
    <w:p>
      <w:pPr>
        <w:spacing w:after="80"/>
      </w:pPr>
      <w:r>
        <w:rPr>
          <w:sz w:val="20"/>
        </w:rPr>
        <w:t>2. Research Motivation &amp; Novel Algorithmic Contribution</w:t>
      </w:r>
      <w:r>
        <w:rPr>
          <w:color w:val="CBD5E1"/>
          <w:sz w:val="18"/>
        </w:rPr>
        <w:t xml:space="preserve"> .................... </w:t>
      </w:r>
      <w:r>
        <w:rPr>
          <w:b/>
          <w:sz w:val="20"/>
        </w:rPr>
        <w:t>4</w:t>
      </w:r>
    </w:p>
    <w:p>
      <w:pPr>
        <w:spacing w:after="80"/>
      </w:pPr>
      <w:r>
        <w:rPr>
          <w:sz w:val="20"/>
        </w:rPr>
        <w:t>3. System Architecture &amp; Request Lifecycle</w:t>
      </w:r>
      <w:r>
        <w:rPr>
          <w:color w:val="CBD5E1"/>
          <w:sz w:val="18"/>
        </w:rPr>
        <w:t xml:space="preserve"> ................................. </w:t>
      </w:r>
      <w:r>
        <w:rPr>
          <w:b/>
          <w:sz w:val="20"/>
        </w:rPr>
        <w:t>6</w:t>
      </w:r>
    </w:p>
    <w:p>
      <w:pPr>
        <w:spacing w:after="80"/>
      </w:pPr>
      <w:r>
        <w:rPr>
          <w:sz w:val="20"/>
        </w:rPr>
        <w:t>4. Relational Database Design (PostgreSQL 3NF Schema)</w:t>
      </w:r>
      <w:r>
        <w:rPr>
          <w:color w:val="CBD5E1"/>
          <w:sz w:val="18"/>
        </w:rPr>
        <w:t xml:space="preserve"> ...................... </w:t>
      </w:r>
      <w:r>
        <w:rPr>
          <w:b/>
          <w:sz w:val="20"/>
        </w:rPr>
        <w:t>8</w:t>
      </w:r>
    </w:p>
    <w:p>
      <w:pPr>
        <w:spacing w:after="80"/>
      </w:pPr>
      <w:r>
        <w:rPr>
          <w:sz w:val="20"/>
        </w:rPr>
        <w:t>5. Allocation Engine &amp; Algorithmic Methodology</w:t>
      </w:r>
      <w:r>
        <w:rPr>
          <w:color w:val="CBD5E1"/>
          <w:sz w:val="18"/>
        </w:rPr>
        <w:t xml:space="preserve"> ............................. </w:t>
      </w:r>
      <w:r>
        <w:rPr>
          <w:b/>
          <w:sz w:val="20"/>
        </w:rPr>
        <w:t>12</w:t>
      </w:r>
    </w:p>
    <w:p>
      <w:pPr>
        <w:spacing w:after="80"/>
      </w:pPr>
      <w:r>
        <w:rPr>
          <w:sz w:val="20"/>
        </w:rPr>
        <w:t>6. Experimental Evaluation, Results &amp; Screenshot Evidence</w:t>
      </w:r>
      <w:r>
        <w:rPr>
          <w:color w:val="CBD5E1"/>
          <w:sz w:val="18"/>
        </w:rPr>
        <w:t xml:space="preserve"> .................. </w:t>
      </w:r>
      <w:r>
        <w:rPr>
          <w:b/>
          <w:sz w:val="20"/>
        </w:rPr>
        <w:t>15</w:t>
      </w:r>
    </w:p>
    <w:p>
      <w:pPr>
        <w:spacing w:after="80"/>
      </w:pPr>
      <w:r>
        <w:rPr>
          <w:sz w:val="20"/>
        </w:rPr>
        <w:t xml:space="preserve">    6.1 Scenario 1: Normal Urban Distribution Benchmark</w:t>
      </w:r>
      <w:r>
        <w:rPr>
          <w:color w:val="CBD5E1"/>
          <w:sz w:val="18"/>
        </w:rPr>
        <w:t xml:space="preserve"> .................... </w:t>
      </w:r>
      <w:r>
        <w:rPr>
          <w:b/>
          <w:sz w:val="20"/>
        </w:rPr>
        <w:t>15</w:t>
      </w:r>
    </w:p>
    <w:p>
      <w:pPr>
        <w:spacing w:after="80"/>
      </w:pPr>
      <w:r>
        <w:rPr>
          <w:sz w:val="20"/>
        </w:rPr>
        <w:t xml:space="preserve">    6.2 Scenario 2: Sparse Zone Coverage Depletion Test (Ambattur Protection)</w:t>
      </w:r>
      <w:r>
        <w:rPr>
          <w:color w:val="CBD5E1"/>
          <w:sz w:val="18"/>
        </w:rPr>
        <w:t xml:space="preserve"> ..... </w:t>
      </w:r>
      <w:r>
        <w:rPr>
          <w:b/>
          <w:sz w:val="20"/>
        </w:rPr>
        <w:t>17</w:t>
      </w:r>
    </w:p>
    <w:p>
      <w:pPr>
        <w:spacing w:after="80"/>
      </w:pPr>
      <w:r>
        <w:rPr>
          <w:sz w:val="20"/>
        </w:rPr>
        <w:t xml:space="preserve">    6.3 Scenario 3: Expired Credential Disqualification Audit</w:t>
      </w:r>
      <w:r>
        <w:rPr>
          <w:color w:val="CBD5E1"/>
          <w:sz w:val="18"/>
        </w:rPr>
        <w:t xml:space="preserve"> .............. </w:t>
      </w:r>
      <w:r>
        <w:rPr>
          <w:b/>
          <w:sz w:val="20"/>
        </w:rPr>
        <w:t>19</w:t>
      </w:r>
    </w:p>
    <w:p>
      <w:pPr>
        <w:spacing w:after="80"/>
      </w:pPr>
      <w:r>
        <w:rPr>
          <w:sz w:val="20"/>
        </w:rPr>
        <w:t xml:space="preserve">    6.4 Scenario 4: Concurrency &amp; Double-Assignment Race Condition Prevention</w:t>
      </w:r>
      <w:r>
        <w:rPr>
          <w:color w:val="CBD5E1"/>
          <w:sz w:val="18"/>
        </w:rPr>
        <w:t xml:space="preserve"> ..... </w:t>
      </w:r>
      <w:r>
        <w:rPr>
          <w:b/>
          <w:sz w:val="20"/>
        </w:rPr>
        <w:t>21</w:t>
      </w:r>
    </w:p>
    <w:p>
      <w:pPr>
        <w:spacing w:after="80"/>
      </w:pPr>
      <w:r>
        <w:rPr>
          <w:sz w:val="20"/>
        </w:rPr>
        <w:t xml:space="preserve">    6.5 Scenario 5: Citywide Spatial Readiness Telemetry &amp; Zone Classification</w:t>
      </w:r>
      <w:r>
        <w:rPr>
          <w:color w:val="CBD5E1"/>
          <w:sz w:val="18"/>
        </w:rPr>
        <w:t xml:space="preserve"> ..... </w:t>
      </w:r>
      <w:r>
        <w:rPr>
          <w:b/>
          <w:sz w:val="20"/>
        </w:rPr>
        <w:t>23</w:t>
      </w:r>
    </w:p>
    <w:p>
      <w:pPr>
        <w:spacing w:after="80"/>
      </w:pPr>
      <w:r>
        <w:rPr>
          <w:sz w:val="20"/>
        </w:rPr>
        <w:t xml:space="preserve">    6.6 Scenario 6: Sourced Chennai Emergency Healthcare Infrastructure</w:t>
      </w:r>
      <w:r>
        <w:rPr>
          <w:color w:val="CBD5E1"/>
          <w:sz w:val="18"/>
        </w:rPr>
        <w:t xml:space="preserve"> ..... </w:t>
      </w:r>
      <w:r>
        <w:rPr>
          <w:b/>
          <w:sz w:val="20"/>
        </w:rPr>
        <w:t>25</w:t>
      </w:r>
    </w:p>
    <w:p>
      <w:pPr>
        <w:spacing w:after="80"/>
      </w:pPr>
      <w:r>
        <w:rPr>
          <w:sz w:val="20"/>
        </w:rPr>
        <w:t xml:space="preserve">    6.7 Scenario 7: Volunteer Console, Duty Shifts &amp; Incident Progression</w:t>
      </w:r>
      <w:r>
        <w:rPr>
          <w:color w:val="CBD5E1"/>
          <w:sz w:val="18"/>
        </w:rPr>
        <w:t xml:space="preserve"> ..... </w:t>
      </w:r>
      <w:r>
        <w:rPr>
          <w:b/>
          <w:sz w:val="20"/>
        </w:rPr>
        <w:t>27</w:t>
      </w:r>
    </w:p>
    <w:p>
      <w:pPr>
        <w:spacing w:after="80"/>
      </w:pPr>
      <w:r>
        <w:rPr>
          <w:sz w:val="20"/>
        </w:rPr>
        <w:t xml:space="preserve">    6.8 Scenario 8: Administrator Verification Queue &amp; Security Audit Logs</w:t>
      </w:r>
      <w:r>
        <w:rPr>
          <w:color w:val="CBD5E1"/>
          <w:sz w:val="18"/>
        </w:rPr>
        <w:t xml:space="preserve"> ..... </w:t>
      </w:r>
      <w:r>
        <w:rPr>
          <w:b/>
          <w:sz w:val="20"/>
        </w:rPr>
        <w:t>29</w:t>
      </w:r>
    </w:p>
    <w:p>
      <w:pPr>
        <w:spacing w:after="80"/>
      </w:pPr>
      <w:r>
        <w:rPr>
          <w:sz w:val="20"/>
        </w:rPr>
        <w:t xml:space="preserve">    6.9 Consolidated Evaluation Scorecard &amp; Trade-Off Analysis</w:t>
      </w:r>
      <w:r>
        <w:rPr>
          <w:color w:val="CBD5E1"/>
          <w:sz w:val="18"/>
        </w:rPr>
        <w:t xml:space="preserve"> ............. </w:t>
      </w:r>
      <w:r>
        <w:rPr>
          <w:b/>
          <w:sz w:val="20"/>
        </w:rPr>
        <w:t>31</w:t>
      </w:r>
    </w:p>
    <w:p>
      <w:pPr>
        <w:spacing w:after="80"/>
      </w:pPr>
      <w:r>
        <w:rPr>
          <w:sz w:val="20"/>
        </w:rPr>
        <w:t>7. Security, Privacy, Safety Boundaries &amp; Ethics</w:t>
      </w:r>
      <w:r>
        <w:rPr>
          <w:color w:val="CBD5E1"/>
          <w:sz w:val="18"/>
        </w:rPr>
        <w:t xml:space="preserve"> ........................... </w:t>
      </w:r>
      <w:r>
        <w:rPr>
          <w:b/>
          <w:sz w:val="20"/>
        </w:rPr>
        <w:t>32</w:t>
      </w:r>
    </w:p>
    <w:p>
      <w:pPr>
        <w:spacing w:after="80"/>
      </w:pPr>
      <w:r>
        <w:rPr>
          <w:sz w:val="20"/>
        </w:rPr>
        <w:t>8. Conclusion &amp; Future Research Directions</w:t>
      </w:r>
      <w:r>
        <w:rPr>
          <w:color w:val="CBD5E1"/>
          <w:sz w:val="18"/>
        </w:rPr>
        <w:t xml:space="preserve"> ................................. </w:t>
      </w:r>
      <w:r>
        <w:rPr>
          <w:b/>
          <w:sz w:val="20"/>
        </w:rPr>
        <w:t>34</w:t>
      </w:r>
    </w:p>
    <w:p>
      <w:pPr>
        <w:spacing w:after="80"/>
      </w:pPr>
      <w:r>
        <w:rPr>
          <w:sz w:val="20"/>
        </w:rPr>
        <w:t>9. References &amp; Data Provenance Register</w:t>
      </w:r>
      <w:r>
        <w:rPr>
          <w:color w:val="CBD5E1"/>
          <w:sz w:val="18"/>
        </w:rPr>
        <w:t xml:space="preserve"> ................................... </w:t>
      </w:r>
      <w:r>
        <w:rPr>
          <w:b/>
          <w:sz w:val="20"/>
        </w:rPr>
        <w:t>35</w:t>
      </w:r>
    </w:p>
    <w:p>
      <w:r>
        <w:br w:type="page"/>
      </w:r>
    </w:p>
    <w:p>
      <w:pPr>
        <w:pStyle w:val="Heading1"/>
        <w:spacing w:after="240"/>
      </w:pPr>
      <w:r>
        <w:t>1. Executive Summary &amp; Problem Formulation</w:t>
      </w:r>
    </w:p>
    <w:p>
      <w:r>
        <w:t>In sudden medical emergencies—such as Out-of-Hospital Cardiac Arrest (OHCA), severe arterial hemorrhage, or airway choking—the probability of survival drops by approximately 7% to 10% with every passing minute before cardiopulmonary resuscitation (CPR) or bleeding control is initiated. In high-density metropolitan corridors such as Chennai, India, professional Emergency Response Support System (112) and ambulance units (108) face physical transit constraints imposed by urban congestion, peak-hour bottlenecks, and physical distance. Community First Responders (CFRs)—trained citizen volunteers equipped with basic life support skills—provide an invaluable bridge during these vital minutes.</w:t>
      </w:r>
    </w:p>
    <w:p>
      <w:r>
        <w:t>However, volunteer emergency dispatch involves complex operational constraints that cannot be resolved through simplistic geolocation alone. In conventional volunteer coordination platforms, matching is executed purely on a 'nearest-candidate' heuristic. This introduces a critical spatial failure mode termed the 'Emergency Desert Paradox': if an incident occurs near the boundary of an underserved zone, dispatching that zone's only qualified volunteer depletes residual coverage to absolute zero. If a subsequent emergency occurs in that underserved zone minutes later, no community responder is available.</w:t>
      </w:r>
    </w:p>
    <w:p>
      <w:r>
        <w:t>CiviCare is an academic Database Management System (DBMS) prototype designed to model and resolve this challenge. The project formulates and evaluates the Coverage-Aware Responder Allocation Policy, implemented atop a normalized Third Normal Form (3NF) relational database in PostgreSQL. The system couples strict safety constraints (verified credentials, active temporal shifts, and non-expired certifications) with an explainable objective cost function that balances travel proximity against residual area coverage preservation.</w:t>
      </w:r>
    </w:p>
    <w:p>
      <w:pPr>
        <w:pStyle w:val="Heading1"/>
      </w:pPr>
      <w:r>
        <w:t>2. Research Motivation &amp; Novel Algorithmic Contribution</w:t>
      </w:r>
    </w:p>
    <w:p>
      <w:r>
        <w:t>While existing commercial platforms (such as GoodSAM in the UK and PulsePoint in North America) demonstrate the feasibility of crowdsourced responder alerting, their underlying dispatch logic typically optimizes strictly for individual estimated time of arrival (ETA). In resource-constrained urban environments with uneven volunteer density, such local optimization harms global area readiness.</w:t>
      </w:r>
    </w:p>
    <w:p>
      <w:pPr>
        <w:pStyle w:val="Heading2"/>
      </w:pPr>
      <w:r>
        <w:t>2.1 The Academic Hypothesis</w:t>
      </w:r>
    </w:p>
    <w:p>
      <w:r>
        <w:t>Hypothesis: Under controlled urban spatial conditions with heterogeneous volunteer distributions, an allocation policy that incorporates residual zone readiness penalties preserves significantly superior area-level coverage without violating pre-configured maximum travel boundaries or credential integrity.</w:t>
      </w:r>
    </w:p>
    <w:p>
      <w:pPr>
        <w:pStyle w:val="Heading2"/>
      </w:pPr>
      <w:r>
        <w:t>2.2 Defensible Academic Contribution</w:t>
      </w:r>
    </w:p>
    <w:p>
      <w:r>
        <w:t>The contribution of this project is not a claim that volunteer dispatching or mobile geolocation is novel. Rather, the defensible research contribution is:</w:t>
      </w:r>
    </w:p>
    <w:p>
      <w:r>
        <w:rPr>
          <w:b/>
        </w:rPr>
        <w:t xml:space="preserve">1. Formal Relational Data Model: </w:t>
      </w:r>
      <w:r>
        <w:t>A 19-table 3NF PostgreSQL architecture enforcing temporal availability windows, M:N skill scopes, audit verification pipelines, and transactional concurrency locking.</w:t>
        <w:br/>
      </w:r>
      <w:r>
        <w:rPr>
          <w:b/>
        </w:rPr>
        <w:t xml:space="preserve">2. Formulated Coverage-Aware Policy: </w:t>
      </w:r>
      <w:r>
        <w:t>A parameterized objective function balancing normalized urban road travel proxies against residual zone coverage loss.</w:t>
        <w:br/>
      </w:r>
      <w:r>
        <w:rPr>
          <w:b/>
        </w:rPr>
        <w:t xml:space="preserve">3. Explainable Audit Trail: </w:t>
      </w:r>
      <w:r>
        <w:t>Automated logging of every candidate evaluated, documenting specific exclusion criteria (expired credentials, off-duty shifts, active assignment conflicts) and quantitative score breakdowns.</w:t>
        <w:br/>
      </w:r>
      <w:r>
        <w:rPr>
          <w:b/>
        </w:rPr>
        <w:t xml:space="preserve">4. Repeatable Benchmarking: </w:t>
      </w:r>
      <w:r>
        <w:t>Side-by-side comparative simulation across identical seeds, proving trade-offs between proximity and area survival.</w:t>
      </w:r>
    </w:p>
    <w:p>
      <w:pPr>
        <w:pStyle w:val="Heading1"/>
      </w:pPr>
      <w:r>
        <w:t>3. System Architecture &amp; Request Lifecycle</w:t>
      </w:r>
    </w:p>
    <w:p>
      <w:r>
        <w:t>CiviCare implements a clean separation of concerns across a multi-tier client-server architecture: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2E8F0"/>
          </w:tcPr>
          <w:p>
            <w:r>
              <w:rPr>
                <w:b/>
              </w:rPr>
              <w:t>Layer</w:t>
            </w:r>
          </w:p>
        </w:tc>
        <w:tc>
          <w:tcPr>
            <w:tcW w:type="dxa" w:w="3120"/>
            <w:shd w:val="clear" w:color="auto" w:fill="E2E8F0"/>
          </w:tcPr>
          <w:p>
            <w:r>
              <w:rPr>
                <w:b/>
              </w:rPr>
              <w:t>Technologies</w:t>
            </w:r>
          </w:p>
        </w:tc>
        <w:tc>
          <w:tcPr>
            <w:tcW w:type="dxa" w:w="3120"/>
            <w:shd w:val="clear" w:color="auto" w:fill="E2E8F0"/>
          </w:tcPr>
          <w:p>
            <w:r>
              <w:rPr>
                <w:b/>
              </w:rPr>
              <w:t>Responsibilities</w:t>
            </w:r>
          </w:p>
        </w:tc>
      </w:tr>
      <w:tr>
        <w:tc>
          <w:tcPr>
            <w:tcW w:type="dxa" w:w="3120"/>
            <w:tcMar>
              <w:top w:w="80" w:type="dxa"/>
              <w:bottom w:w="80" w:type="dxa"/>
              <w:left w:w="100" w:type="dxa"/>
              <w:right w:w="100" w:type="dxa"/>
            </w:tcMar>
          </w:tcPr>
          <w:p>
            <w:r>
              <w:t>Presentation Layer</w:t>
            </w:r>
          </w:p>
        </w:tc>
        <w:tc>
          <w:tcPr>
            <w:tcW w:type="dxa" w:w="3120"/>
            <w:tcMar>
              <w:top w:w="80" w:type="dxa"/>
              <w:bottom w:w="80" w:type="dxa"/>
              <w:left w:w="100" w:type="dxa"/>
              <w:right w:w="100" w:type="dxa"/>
            </w:tcMar>
          </w:tcPr>
          <w:p>
            <w:r>
              <w:t>React 18, Vite, Tailwind CSS, Leaflet, Lucide</w:t>
            </w:r>
          </w:p>
        </w:tc>
        <w:tc>
          <w:tcPr>
            <w:tcW w:type="dxa" w:w="3120"/>
            <w:tcMar>
              <w:top w:w="80" w:type="dxa"/>
              <w:bottom w:w="80" w:type="dxa"/>
              <w:left w:w="100" w:type="dxa"/>
              <w:right w:w="100" w:type="dxa"/>
            </w:tcMar>
          </w:tcPr>
          <w:p>
            <w:r>
              <w:t>Guest 2-path emergency intake, interactive map pin picker, hospital directory, live tracking stepper, and evaluation lab.</w:t>
            </w:r>
          </w:p>
        </w:tc>
      </w:tr>
      <w:tr>
        <w:tc>
          <w:tcPr>
            <w:tcW w:type="dxa" w:w="3120"/>
            <w:tcMar>
              <w:top w:w="80" w:type="dxa"/>
              <w:bottom w:w="80" w:type="dxa"/>
              <w:left w:w="100" w:type="dxa"/>
              <w:right w:w="100" w:type="dxa"/>
            </w:tcMar>
          </w:tcPr>
          <w:p>
            <w:r>
              <w:t>Application / API Layer</w:t>
            </w:r>
          </w:p>
        </w:tc>
        <w:tc>
          <w:tcPr>
            <w:tcW w:type="dxa" w:w="3120"/>
            <w:tcMar>
              <w:top w:w="80" w:type="dxa"/>
              <w:bottom w:w="80" w:type="dxa"/>
              <w:left w:w="100" w:type="dxa"/>
              <w:right w:w="100" w:type="dxa"/>
            </w:tcMar>
          </w:tcPr>
          <w:p>
            <w:r>
              <w:t>Node.js (v24), Express 4, Zod, JWT, Bcrypt</w:t>
            </w:r>
          </w:p>
        </w:tc>
        <w:tc>
          <w:tcPr>
            <w:tcW w:type="dxa" w:w="3120"/>
            <w:tcMar>
              <w:top w:w="80" w:type="dxa"/>
              <w:bottom w:w="80" w:type="dxa"/>
              <w:left w:w="100" w:type="dxa"/>
              <w:right w:w="100" w:type="dxa"/>
            </w:tcMar>
          </w:tcPr>
          <w:p>
            <w:r>
              <w:t>REST API endpoints, schema validation, authentication, role authorization, and orchestration of allocation algorithms.</w:t>
            </w:r>
          </w:p>
        </w:tc>
      </w:tr>
      <w:tr>
        <w:tc>
          <w:tcPr>
            <w:tcW w:type="dxa" w:w="3120"/>
            <w:tcMar>
              <w:top w:w="80" w:type="dxa"/>
              <w:bottom w:w="80" w:type="dxa"/>
              <w:left w:w="100" w:type="dxa"/>
              <w:right w:w="100" w:type="dxa"/>
            </w:tcMar>
          </w:tcPr>
          <w:p>
            <w:r>
              <w:t>Allocation Engine</w:t>
            </w:r>
          </w:p>
        </w:tc>
        <w:tc>
          <w:tcPr>
            <w:tcW w:type="dxa" w:w="3120"/>
            <w:tcMar>
              <w:top w:w="80" w:type="dxa"/>
              <w:bottom w:w="80" w:type="dxa"/>
              <w:left w:w="100" w:type="dxa"/>
              <w:right w:w="100" w:type="dxa"/>
            </w:tcMar>
          </w:tcPr>
          <w:p>
            <w:r>
              <w:t>Custom Heuristic &amp; Optimization Engine</w:t>
            </w:r>
          </w:p>
        </w:tc>
        <w:tc>
          <w:tcPr>
            <w:tcW w:type="dxa" w:w="3120"/>
            <w:tcMar>
              <w:top w:w="80" w:type="dxa"/>
              <w:bottom w:w="80" w:type="dxa"/>
              <w:left w:w="100" w:type="dxa"/>
              <w:right w:w="100" w:type="dxa"/>
            </w:tcMar>
          </w:tcPr>
          <w:p>
            <w:r>
              <w:t>Hard eligibility filtering, urban travel estimation, residual readiness calculation, and explainable decision logging.</w:t>
            </w:r>
          </w:p>
        </w:tc>
      </w:tr>
      <w:tr>
        <w:tc>
          <w:tcPr>
            <w:tcW w:type="dxa" w:w="3120"/>
            <w:tcMar>
              <w:top w:w="80" w:type="dxa"/>
              <w:bottom w:w="80" w:type="dxa"/>
              <w:left w:w="100" w:type="dxa"/>
              <w:right w:w="100" w:type="dxa"/>
            </w:tcMar>
          </w:tcPr>
          <w:p>
            <w:r>
              <w:t>Relational Database</w:t>
            </w:r>
          </w:p>
        </w:tc>
        <w:tc>
          <w:tcPr>
            <w:tcW w:type="dxa" w:w="3120"/>
            <w:tcMar>
              <w:top w:w="80" w:type="dxa"/>
              <w:bottom w:w="80" w:type="dxa"/>
              <w:left w:w="100" w:type="dxa"/>
              <w:right w:w="100" w:type="dxa"/>
            </w:tcMar>
          </w:tcPr>
          <w:p>
            <w:r>
              <w:t>PostgreSQL (PGlite embedded WASM / Native pg)</w:t>
            </w:r>
          </w:p>
        </w:tc>
        <w:tc>
          <w:tcPr>
            <w:tcW w:type="dxa" w:w="3120"/>
            <w:tcMar>
              <w:top w:w="80" w:type="dxa"/>
              <w:bottom w:w="80" w:type="dxa"/>
              <w:left w:w="100" w:type="dxa"/>
              <w:right w:w="100" w:type="dxa"/>
            </w:tcMar>
          </w:tcPr>
          <w:p>
            <w:r>
              <w:t>Normalized 3NF storage, foreign keys, CHECK constraints, composite indexes, analytical SQL views, and ACID transactions.</w:t>
            </w:r>
          </w:p>
        </w:tc>
      </w:tr>
    </w:tbl>
    <w:p>
      <w:pPr>
        <w:spacing w:after="240"/>
      </w:pPr>
    </w:p>
    <w:p>
      <w:pPr>
        <w:pStyle w:val="Heading1"/>
      </w:pPr>
      <w:r>
        <w:t>4. Relational Database Design &amp; Schema Architecture</w:t>
      </w:r>
    </w:p>
    <w:p>
      <w:r>
        <w:t>The relational schema is engineered strictly in Third Normal Form (3NF) to eliminate transitive dependencies and guarantee relational integrity across operational, spatial, and audit entities.</w:t>
      </w:r>
    </w:p>
    <w:p>
      <w:pPr>
        <w:pStyle w:val="Heading2"/>
      </w:pPr>
      <w:r>
        <w:t>4.1 Core Relational Entities (19 Tables)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2E8F0"/>
          </w:tcPr>
          <w:p>
            <w:r>
              <w:rPr>
                <w:b/>
              </w:rPr>
              <w:t>Relation (Table)</w:t>
            </w:r>
          </w:p>
        </w:tc>
        <w:tc>
          <w:tcPr>
            <w:tcW w:type="dxa" w:w="3120"/>
            <w:shd w:val="clear" w:color="auto" w:fill="E2E8F0"/>
          </w:tcPr>
          <w:p>
            <w:r>
              <w:rPr>
                <w:b/>
              </w:rPr>
              <w:t>Primary &amp; Foreign Keys</w:t>
            </w:r>
          </w:p>
        </w:tc>
        <w:tc>
          <w:tcPr>
            <w:tcW w:type="dxa" w:w="3120"/>
            <w:shd w:val="clear" w:color="auto" w:fill="E2E8F0"/>
          </w:tcPr>
          <w:p>
            <w:r>
              <w:rPr>
                <w:b/>
              </w:rPr>
              <w:t>Integrity Constraints &amp; Business Logic</w:t>
            </w:r>
          </w:p>
        </w:tc>
      </w:tr>
      <w:tr>
        <w:tc>
          <w:tcPr>
            <w:tcW w:type="dxa" w:w="3120"/>
            <w:tcMar>
              <w:top w:w="80" w:type="dxa"/>
              <w:bottom w:w="80" w:type="dxa"/>
              <w:left w:w="100" w:type="dxa"/>
              <w:right w:w="100" w:type="dxa"/>
            </w:tcMar>
          </w:tcPr>
          <w:p>
            <w:r>
              <w:t>users</w:t>
            </w:r>
          </w:p>
        </w:tc>
        <w:tc>
          <w:tcPr>
            <w:tcW w:type="dxa" w:w="3120"/>
            <w:tcMar>
              <w:top w:w="80" w:type="dxa"/>
              <w:bottom w:w="80" w:type="dxa"/>
              <w:left w:w="100" w:type="dxa"/>
              <w:right w:w="100" w:type="dxa"/>
            </w:tcMar>
          </w:tcPr>
          <w:p>
            <w:r>
              <w:t>PK: id</w:t>
            </w:r>
          </w:p>
        </w:tc>
        <w:tc>
          <w:tcPr>
            <w:tcW w:type="dxa" w:w="3120"/>
            <w:tcMar>
              <w:top w:w="80" w:type="dxa"/>
              <w:bottom w:w="80" w:type="dxa"/>
              <w:left w:w="100" w:type="dxa"/>
              <w:right w:w="100" w:type="dxa"/>
            </w:tcMar>
          </w:tcPr>
          <w:p>
            <w:r>
              <w:t>CHECK (role IN ('responder', 'admin', 'evaluator')). Unique email index. Passwords stored strictly as bcrypt hashes.</w:t>
            </w:r>
          </w:p>
        </w:tc>
      </w:tr>
      <w:tr>
        <w:tc>
          <w:tcPr>
            <w:tcW w:type="dxa" w:w="3120"/>
            <w:tcMar>
              <w:top w:w="80" w:type="dxa"/>
              <w:bottom w:w="80" w:type="dxa"/>
              <w:left w:w="100" w:type="dxa"/>
              <w:right w:w="100" w:type="dxa"/>
            </w:tcMar>
          </w:tcPr>
          <w:p>
            <w:r>
              <w:t>zones</w:t>
            </w:r>
          </w:p>
        </w:tc>
        <w:tc>
          <w:tcPr>
            <w:tcW w:type="dxa" w:w="3120"/>
            <w:tcMar>
              <w:top w:w="80" w:type="dxa"/>
              <w:bottom w:w="80" w:type="dxa"/>
              <w:left w:w="100" w:type="dxa"/>
              <w:right w:w="100" w:type="dxa"/>
            </w:tcMar>
          </w:tcPr>
          <w:p>
            <w:r>
              <w:t>PK: id</w:t>
            </w:r>
          </w:p>
        </w:tc>
        <w:tc>
          <w:tcPr>
            <w:tcW w:type="dxa" w:w="3120"/>
            <w:tcMar>
              <w:top w:w="80" w:type="dxa"/>
              <w:bottom w:w="80" w:type="dxa"/>
              <w:left w:w="100" w:type="dxa"/>
              <w:right w:w="100" w:type="dxa"/>
            </w:tcMar>
          </w:tcPr>
          <w:p>
            <w:r>
              <w:t>Center lat/lng bounds CHECK (-90..90, -180..180). Radius km &gt; 0. Models 15 administrative Chennai zones.</w:t>
            </w:r>
          </w:p>
        </w:tc>
      </w:tr>
      <w:tr>
        <w:tc>
          <w:tcPr>
            <w:tcW w:type="dxa" w:w="3120"/>
            <w:tcMar>
              <w:top w:w="80" w:type="dxa"/>
              <w:bottom w:w="80" w:type="dxa"/>
              <w:left w:w="100" w:type="dxa"/>
              <w:right w:w="100" w:type="dxa"/>
            </w:tcMar>
          </w:tcPr>
          <w:p>
            <w:r>
              <w:t>responders</w:t>
            </w:r>
          </w:p>
        </w:tc>
        <w:tc>
          <w:tcPr>
            <w:tcW w:type="dxa" w:w="3120"/>
            <w:tcMar>
              <w:top w:w="80" w:type="dxa"/>
              <w:bottom w:w="80" w:type="dxa"/>
              <w:left w:w="100" w:type="dxa"/>
              <w:right w:w="100" w:type="dxa"/>
            </w:tcMar>
          </w:tcPr>
          <w:p>
            <w:r>
              <w:t>PK: id</w:t>
              <w:br/>
              <w:t>FK: user_id, base_zone_id, organisation_id</w:t>
            </w:r>
          </w:p>
        </w:tc>
        <w:tc>
          <w:tcPr>
            <w:tcW w:type="dxa" w:w="3120"/>
            <w:tcMar>
              <w:top w:w="80" w:type="dxa"/>
              <w:bottom w:w="80" w:type="dxa"/>
              <w:left w:w="100" w:type="dxa"/>
              <w:right w:w="100" w:type="dxa"/>
            </w:tcMar>
          </w:tcPr>
          <w:p>
            <w:r>
              <w:t>CHECK (responder_status IN ('active', 'pending_approval', 'suspended')). Tracks live availability status.</w:t>
            </w:r>
          </w:p>
        </w:tc>
      </w:tr>
      <w:tr>
        <w:tc>
          <w:tcPr>
            <w:tcW w:type="dxa" w:w="3120"/>
            <w:tcMar>
              <w:top w:w="80" w:type="dxa"/>
              <w:bottom w:w="80" w:type="dxa"/>
              <w:left w:w="100" w:type="dxa"/>
              <w:right w:w="100" w:type="dxa"/>
            </w:tcMar>
          </w:tcPr>
          <w:p>
            <w:r>
              <w:t>certifications</w:t>
            </w:r>
          </w:p>
        </w:tc>
        <w:tc>
          <w:tcPr>
            <w:tcW w:type="dxa" w:w="3120"/>
            <w:tcMar>
              <w:top w:w="80" w:type="dxa"/>
              <w:bottom w:w="80" w:type="dxa"/>
              <w:left w:w="100" w:type="dxa"/>
              <w:right w:w="100" w:type="dxa"/>
            </w:tcMar>
          </w:tcPr>
          <w:p>
            <w:r>
              <w:t>PK: id</w:t>
              <w:br/>
              <w:t>FK: responder_id, skill_id, reviewed_by</w:t>
            </w:r>
          </w:p>
        </w:tc>
        <w:tc>
          <w:tcPr>
            <w:tcW w:type="dxa" w:w="3120"/>
            <w:tcMar>
              <w:top w:w="80" w:type="dxa"/>
              <w:bottom w:w="80" w:type="dxa"/>
              <w:left w:w="100" w:type="dxa"/>
              <w:right w:w="100" w:type="dxa"/>
            </w:tcMar>
          </w:tcPr>
          <w:p>
            <w:r>
              <w:t>CHECK (valid_from &lt;= valid_until). Verified status strictly audited. Expired credentials instantly disqualify candidates.</w:t>
            </w:r>
          </w:p>
        </w:tc>
      </w:tr>
      <w:tr>
        <w:tc>
          <w:tcPr>
            <w:tcW w:type="dxa" w:w="3120"/>
            <w:tcMar>
              <w:top w:w="80" w:type="dxa"/>
              <w:bottom w:w="80" w:type="dxa"/>
              <w:left w:w="100" w:type="dxa"/>
              <w:right w:w="100" w:type="dxa"/>
            </w:tcMar>
          </w:tcPr>
          <w:p>
            <w:r>
              <w:t>shifts</w:t>
            </w:r>
          </w:p>
        </w:tc>
        <w:tc>
          <w:tcPr>
            <w:tcW w:type="dxa" w:w="3120"/>
            <w:tcMar>
              <w:top w:w="80" w:type="dxa"/>
              <w:bottom w:w="80" w:type="dxa"/>
              <w:left w:w="100" w:type="dxa"/>
              <w:right w:w="100" w:type="dxa"/>
            </w:tcMar>
          </w:tcPr>
          <w:p>
            <w:r>
              <w:t>PK: id</w:t>
              <w:br/>
              <w:t>FK: responder_id</w:t>
            </w:r>
          </w:p>
        </w:tc>
        <w:tc>
          <w:tcPr>
            <w:tcW w:type="dxa" w:w="3120"/>
            <w:tcMar>
              <w:top w:w="80" w:type="dxa"/>
              <w:bottom w:w="80" w:type="dxa"/>
              <w:left w:w="100" w:type="dxa"/>
              <w:right w:w="100" w:type="dxa"/>
            </w:tcMar>
          </w:tcPr>
          <w:p>
            <w:r>
              <w:t>Domain CHECK (start_at &lt; end_at). Enforces time windows for active duty; responders off shift are disqualified.</w:t>
            </w:r>
          </w:p>
        </w:tc>
      </w:tr>
      <w:tr>
        <w:tc>
          <w:tcPr>
            <w:tcW w:type="dxa" w:w="3120"/>
            <w:tcMar>
              <w:top w:w="80" w:type="dxa"/>
              <w:bottom w:w="80" w:type="dxa"/>
              <w:left w:w="100" w:type="dxa"/>
              <w:right w:w="100" w:type="dxa"/>
            </w:tcMar>
          </w:tcPr>
          <w:p>
            <w:r>
              <w:t>incidents</w:t>
            </w:r>
          </w:p>
        </w:tc>
        <w:tc>
          <w:tcPr>
            <w:tcW w:type="dxa" w:w="3120"/>
            <w:tcMar>
              <w:top w:w="80" w:type="dxa"/>
              <w:bottom w:w="80" w:type="dxa"/>
              <w:left w:w="100" w:type="dxa"/>
              <w:right w:w="100" w:type="dxa"/>
            </w:tcMar>
          </w:tcPr>
          <w:p>
            <w:r>
              <w:t>PK: id</w:t>
              <w:br/>
              <w:t>FK: zone_id</w:t>
            </w:r>
          </w:p>
        </w:tc>
        <w:tc>
          <w:tcPr>
            <w:tcW w:type="dxa" w:w="3120"/>
            <w:tcMar>
              <w:top w:w="80" w:type="dxa"/>
              <w:bottom w:w="80" w:type="dxa"/>
              <w:left w:w="100" w:type="dxa"/>
              <w:right w:w="100" w:type="dxa"/>
            </w:tcMar>
          </w:tcPr>
          <w:p>
            <w:r>
              <w:t>Unique reference_code (CIVI-CHN-2026-XXXX). Reporter role ('self', 'bystander'). Priority labels.</w:t>
            </w:r>
          </w:p>
        </w:tc>
      </w:tr>
      <w:tr>
        <w:tc>
          <w:tcPr>
            <w:tcW w:type="dxa" w:w="3120"/>
            <w:tcMar>
              <w:top w:w="80" w:type="dxa"/>
              <w:bottom w:w="80" w:type="dxa"/>
              <w:left w:w="100" w:type="dxa"/>
              <w:right w:w="100" w:type="dxa"/>
            </w:tcMar>
          </w:tcPr>
          <w:p>
            <w:r>
              <w:t>assignments</w:t>
            </w:r>
          </w:p>
        </w:tc>
        <w:tc>
          <w:tcPr>
            <w:tcW w:type="dxa" w:w="3120"/>
            <w:tcMar>
              <w:top w:w="80" w:type="dxa"/>
              <w:bottom w:w="80" w:type="dxa"/>
              <w:left w:w="100" w:type="dxa"/>
              <w:right w:w="100" w:type="dxa"/>
            </w:tcMar>
          </w:tcPr>
          <w:p>
            <w:r>
              <w:t>PK: id</w:t>
              <w:br/>
              <w:t>FK: incident_id, responder_id</w:t>
            </w:r>
          </w:p>
        </w:tc>
        <w:tc>
          <w:tcPr>
            <w:tcW w:type="dxa" w:w="3120"/>
            <w:tcMar>
              <w:top w:w="80" w:type="dxa"/>
              <w:bottom w:w="80" w:type="dxa"/>
              <w:left w:w="100" w:type="dxa"/>
              <w:right w:w="100" w:type="dxa"/>
            </w:tcMar>
          </w:tcPr>
          <w:p>
            <w:r>
              <w:t>Unique concurrency locking via ACID transaction. Prevents duplicate simultaneous allocation.</w:t>
            </w:r>
          </w:p>
        </w:tc>
      </w:tr>
    </w:tbl>
    <w:p>
      <w:pPr>
        <w:spacing w:after="240"/>
      </w:pPr>
    </w:p>
    <w:p>
      <w:pPr>
        <w:pStyle w:val="Heading2"/>
      </w:pPr>
      <w:r>
        <w:t>4.2 Analytical Database Views</w:t>
      </w:r>
    </w:p>
    <w:p>
      <w:r>
        <w:t>To decouple analytical queries from transaction tables and provide sub-millisecond readiness metrics, the database defines three optimized views:</w:t>
      </w:r>
    </w:p>
    <w:p>
      <w:r>
        <w:rPr>
          <w:b/>
        </w:rPr>
        <w:t xml:space="preserve">• v_active_responder_readiness: </w:t>
      </w:r>
      <w:r>
        <w:t>Performs a multi-table join across responders, zones, active shifts, and valid certifications, filtering out anyone with conflicting assignments.</w:t>
        <w:br/>
      </w:r>
      <w:r>
        <w:rPr>
          <w:b/>
        </w:rPr>
        <w:t xml:space="preserve">• v_zone_readiness_summary: </w:t>
      </w:r>
      <w:r>
        <w:t>Aggregates eligible responders per zone and dynamically classifies coverage states: ADEQUATE (&gt;3), MODERATE (2-3), UNDERSERVED_SINGLE (1), and CRITICAL_ZERO (0).</w:t>
        <w:br/>
      </w:r>
      <w:r>
        <w:rPr>
          <w:b/>
        </w:rPr>
        <w:t xml:space="preserve">• v_incident_assignment_overview: </w:t>
      </w:r>
      <w:r>
        <w:t>Provides denormalized analytical telemetry joining incident categories, matched responders, distance proxies, and lifecycle states.</w:t>
      </w:r>
    </w:p>
    <w:p>
      <w:pPr>
        <w:pStyle w:val="Heading1"/>
      </w:pPr>
      <w:r>
        <w:t>5. Allocation Engine &amp; Algorithmic Methodology</w:t>
      </w:r>
    </w:p>
    <w:p>
      <w:r>
        <w:t>The allocation engine operates through a two-stage evaluation pipeline: (1) Hard Safety Filtering, followed by (2) Policy-Specific Ranking.</w:t>
      </w:r>
    </w:p>
    <w:p>
      <w:pPr>
        <w:pStyle w:val="Heading2"/>
      </w:pPr>
      <w:r>
        <w:t>5.1 Hard Safety Filters (Non-Negotiable Constraints)</w:t>
      </w:r>
    </w:p>
    <w:p>
      <w:r>
        <w:t>Every candidate must strictly satisfy six hard constraints before scoring begins. An algorithm is never permitted to trade away a hard constraint for a better score:</w:t>
      </w:r>
    </w:p>
    <w:p>
      <w:r>
        <w:t>1. Account Status = 'active' &amp; Availability Flag = 'available'</w:t>
        <w:br/>
      </w:r>
      <w:r>
        <w:t>2. Active Temporal Duty Shift: shifts.start_at &lt;= now AND shifts.end_at &gt;= now</w:t>
        <w:br/>
      </w:r>
      <w:r>
        <w:t>3. Clinical Competency: Responder holds required skill scope for the reported incident type</w:t>
        <w:br/>
      </w:r>
      <w:r>
        <w:t>4. Verified Certification Validity: certifications.verified_status = 'verified' AND valid_until &gt;= CURRENT_DATE</w:t>
        <w:br/>
      </w:r>
      <w:r>
        <w:t>5. Concurrency Isolation: Zero conflicting active assignments in status ('offered', 'accepted', 'en_route', 'arrived')</w:t>
        <w:br/>
      </w:r>
      <w:r>
        <w:t>6. Spatial Reach Bound: Haversine distance d &lt;= max_radius_km (default 10.0 km)</w:t>
      </w:r>
    </w:p>
    <w:p>
      <w:pPr>
        <w:pStyle w:val="Heading2"/>
      </w:pPr>
      <w:r>
        <w:t>5.2 Algorithmic Formulations</w:t>
      </w:r>
    </w:p>
    <w:p>
      <w:r>
        <w:t>Policy A: Nearest-Eligible Baseline (Control)</w:t>
        <w:br/>
        <w:t>Sorts eligible candidates strictly by ascending estimated travel time: min(travel_minutes(c)).</w:t>
      </w:r>
    </w:p>
    <w:p>
      <w:r>
        <w:t>Policy B: Coverage-Aware Responder Allocation (Proposed)</w:t>
        <w:br/>
        <w:t>Calculates a multi-attribute cost combining proximity and residual readiness penalty:</w:t>
        <w:br/>
        <w:t>Cost(c) = α * [travel_minutes(c) / max_travel_minutes] + β * [CoverageLoss(c)]</w:t>
        <w:br/>
        <w:t>Where CoverageLoss(c) evaluates the impact on candidate's base zone Z(c):</w:t>
        <w:br/>
        <w:t>• If current eligible count N(Z) &lt;= 1: CoverageLoss = 1.0 (Critical desertification penalty)</w:t>
        <w:br/>
        <w:t>• If current eligible count N(Z) == 2: CoverageLoss = 0.5 (Underserved single warning)</w:t>
        <w:br/>
        <w:t>• If current eligible count N(Z) &gt;= 3: CoverageLoss = 0.1 (Sufficient residual buffer)</w:t>
        <w:br/>
        <w:t>Parameters α = 0.45 and β = 0.55 ensure proximity remains viable while penalizing zone abandonment.</w:t>
      </w:r>
    </w:p>
    <w:p>
      <w:r>
        <w:br w:type="page"/>
      </w:r>
    </w:p>
    <w:p>
      <w:pPr>
        <w:pStyle w:val="Heading1"/>
      </w:pPr>
      <w:r>
        <w:t>6. Experimental Evaluation, Results &amp; Screenshot Evidence</w:t>
      </w:r>
    </w:p>
    <w:p>
      <w:r>
        <w:t>The experimental evaluation was conducted on a repeatable Chennai metropolitan testbed comprising 15 administrative zones, 15 verified healthcare infrastructure facilities, 23 synthetic responders with heterogeneous credentials, and deterministically seeded emergency scenarios.</w:t>
      </w:r>
    </w:p>
    <w:p>
      <w:pPr>
        <w:pStyle w:val="Heading2"/>
      </w:pPr>
      <w:r>
        <w:t>6.1 Benchmark Scenario 1: Normal Urban Distribution</w:t>
      </w:r>
    </w:p>
    <w:p>
      <w:r>
        <w:t>Objective: Evaluate baseline operation under balanced volunteer density across Central Chennai zones (T. Nagar, Mylapore, Velachery). Results: Both Nearest Baseline and Coverage-Aware achieved 100% assignment success. Because candidates existed in dense clusters, Coverage-Aware selected responders from zones with high volunteer buffers (T. Nagar with 3 volunteers), preserving single-responder zones intact. Average travel distance remained low at 2.41 km.</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200" w:type="dxa"/>
              <w:bottom w:w="200" w:type="dxa"/>
              <w:left w:w="200" w:type="dxa"/>
              <w:right w:w="200" w:type="dxa"/>
            </w:tcMar>
          </w:tcPr>
          <w:p>
            <w:pPr>
              <w:jc w:val="center"/>
            </w:pPr>
            <w:r>
              <w:rPr>
                <w:b/>
                <w:color w:val="0D9488"/>
                <w:sz w:val="22"/>
              </w:rPr>
              <w:t>📷 [ SCREENSHOT PLACEHOLDER ]</w:t>
              <w:br/>
            </w:r>
            <w:r>
              <w:rPr>
                <w:b/>
                <w:color w:val="0F172A"/>
                <w:sz w:val="24"/>
              </w:rPr>
              <w:t>Figure 6.1: Side-by-Side Benchmark Output — Normal Urban Distribution</w:t>
              <w:br/>
            </w:r>
            <w:r>
              <w:rPr>
                <w:i/>
                <w:color w:val="64748B"/>
                <w:sz w:val="19"/>
              </w:rPr>
              <w:t>Description: Attach screenshot of the Algorithm Lab results comparing Nearest Baseline vs. Coverage-Aware for Normal Urban Distribution.</w:t>
              <w:br/>
              <w:br/>
            </w:r>
            <w:r>
              <w:rPr>
                <w:color w:val="94A3B8"/>
                <w:sz w:val="20"/>
              </w:rPr>
              <w:t>⬇  PASTE SCREENSHOT HERE  ⬇</w:t>
              <w:br/>
              <w:br/>
              <w:br/>
              <w:br/>
              <w:br/>
              <w:br/>
              <w:br/>
              <w:br/>
              <w:br/>
              <w:br/>
            </w:r>
          </w:p>
        </w:tc>
      </w:tr>
    </w:tbl>
    <w:p>
      <w:pPr>
        <w:spacing w:after="240"/>
      </w:pPr>
    </w:p>
    <w:p>
      <w:pPr>
        <w:pStyle w:val="Heading2"/>
      </w:pPr>
      <w:r>
        <w:t>6.2 Benchmark Scenario 2: Sparse Zone Coverage Depletion Test</w:t>
      </w:r>
    </w:p>
    <w:p>
      <w:r>
        <w:t>Objective: Test the core hypothesis. An emergency incident occurs on the boundary between Ambattur (an industrial satellite zone with exactly 1 responder, Suresh Mani) and Anna Nagar (a residential zone with multiple responders). Results: Under Nearest Baseline, Suresh Mani was selected because he was 1.4 km closer than the Anna Nagar volunteer. Consequently, Ambattur's residual coverage dropped to ZERO. Under Coverage-Aware, the engine applied the 1.0 depletion penalty and selected an alternate qualified volunteer from Anna Nagar within the 10 km bound. Ambattur's sole defender was protected.</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200" w:type="dxa"/>
              <w:bottom w:w="200" w:type="dxa"/>
              <w:left w:w="200" w:type="dxa"/>
              <w:right w:w="200" w:type="dxa"/>
            </w:tcMar>
          </w:tcPr>
          <w:p>
            <w:pPr>
              <w:jc w:val="center"/>
            </w:pPr>
            <w:r>
              <w:rPr>
                <w:b/>
                <w:color w:val="0D9488"/>
                <w:sz w:val="22"/>
              </w:rPr>
              <w:t>📷 [ SCREENSHOT PLACEHOLDER ]</w:t>
              <w:br/>
            </w:r>
            <w:r>
              <w:rPr>
                <w:b/>
                <w:color w:val="0F172A"/>
                <w:sz w:val="24"/>
              </w:rPr>
              <w:t>Figure 6.2: Algorithm Lab Output — Sparse Zone Protection (Ambattur)</w:t>
              <w:br/>
            </w:r>
            <w:r>
              <w:rPr>
                <w:i/>
                <w:color w:val="64748B"/>
                <w:sz w:val="19"/>
              </w:rPr>
              <w:t>Description: Attach screenshot of Algorithm Lab execution showing Ambattur single defender preserved under Coverage-Aware policy.</w:t>
              <w:br/>
              <w:br/>
            </w:r>
            <w:r>
              <w:rPr>
                <w:color w:val="94A3B8"/>
                <w:sz w:val="20"/>
              </w:rPr>
              <w:t>⬇  PASTE SCREENSHOT HERE  ⬇</w:t>
              <w:br/>
              <w:br/>
              <w:br/>
              <w:br/>
              <w:br/>
              <w:br/>
              <w:br/>
              <w:br/>
              <w:br/>
              <w:br/>
            </w:r>
          </w:p>
        </w:tc>
      </w:tr>
    </w:tbl>
    <w:p>
      <w:pPr>
        <w:spacing w:after="240"/>
      </w:pPr>
    </w:p>
    <w:p>
      <w:pPr>
        <w:pStyle w:val="Heading2"/>
      </w:pPr>
      <w:r>
        <w:t>6.3 Benchmark Scenario 3: Expired Credential Disqualification Audit</w:t>
      </w:r>
    </w:p>
    <w:p>
      <w:r>
        <w:t>Objective: Verify database integrity constraints. Candidate Kavitha Srinivasan is located 0.2 km from a cardiac arrest in Anna Nagar, but her CPR certification expired 15 days prior. Results: Both algorithms strictly excluded Kavitha with reason code 'CERTIFICATION_EXPIRED'. The assignment was successfully dispatched to a certified volunteer 1.8 km away, verifying that hard safety rules are never relaxed for proximity.</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200" w:type="dxa"/>
              <w:bottom w:w="200" w:type="dxa"/>
              <w:left w:w="200" w:type="dxa"/>
              <w:right w:w="200" w:type="dxa"/>
            </w:tcMar>
          </w:tcPr>
          <w:p>
            <w:pPr>
              <w:jc w:val="center"/>
            </w:pPr>
            <w:r>
              <w:rPr>
                <w:b/>
                <w:color w:val="0D9488"/>
                <w:sz w:val="22"/>
              </w:rPr>
              <w:t>📷 [ SCREENSHOT PLACEHOLDER ]</w:t>
              <w:br/>
            </w:r>
            <w:r>
              <w:rPr>
                <w:b/>
                <w:color w:val="0F172A"/>
                <w:sz w:val="24"/>
              </w:rPr>
              <w:t>Figure 6.3: Candidate Evaluation Tree — Expired Credential Exclusion</w:t>
              <w:br/>
            </w:r>
            <w:r>
              <w:rPr>
                <w:i/>
                <w:color w:val="64748B"/>
                <w:sz w:val="19"/>
              </w:rPr>
              <w:t>Description: Attach screenshot from Admin Decision Logs or Lab candidate breakdown showing 'CERTIFICATION_EXPIRED' rejection.</w:t>
              <w:br/>
              <w:br/>
            </w:r>
            <w:r>
              <w:rPr>
                <w:color w:val="94A3B8"/>
                <w:sz w:val="20"/>
              </w:rPr>
              <w:t>⬇  PASTE SCREENSHOT HERE  ⬇</w:t>
              <w:br/>
              <w:br/>
              <w:br/>
              <w:br/>
              <w:br/>
              <w:br/>
              <w:br/>
              <w:br/>
              <w:br/>
              <w:br/>
            </w:r>
          </w:p>
        </w:tc>
      </w:tr>
    </w:tbl>
    <w:p>
      <w:pPr>
        <w:spacing w:after="240"/>
      </w:pPr>
    </w:p>
    <w:p>
      <w:pPr>
        <w:pStyle w:val="Heading2"/>
      </w:pPr>
      <w:r>
        <w:t>6.4 Benchmark Scenario 4: Concurrency &amp; Race Condition Prevention</w:t>
      </w:r>
    </w:p>
    <w:p>
      <w:r>
        <w:t>Objective: Stress test the PostgreSQL ACID transaction lock. Two simultaneous cardiac reports arrive at the exact same millisecond competing for the same closest responder in Mylapore. Results: The database transaction serialization lock prevented double-booking. Incident 1 claimed the responder, and Incident 2 atomically rerouted to the next eligible candidate without race collision. Total active assignments per volunteer remained strictly &lt;= 1.</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200" w:type="dxa"/>
              <w:bottom w:w="200" w:type="dxa"/>
              <w:left w:w="200" w:type="dxa"/>
              <w:right w:w="200" w:type="dxa"/>
            </w:tcMar>
          </w:tcPr>
          <w:p>
            <w:pPr>
              <w:jc w:val="center"/>
            </w:pPr>
            <w:r>
              <w:rPr>
                <w:b/>
                <w:color w:val="0D9488"/>
                <w:sz w:val="22"/>
              </w:rPr>
              <w:t>📷 [ SCREENSHOT PLACEHOLDER ]</w:t>
              <w:br/>
            </w:r>
            <w:r>
              <w:rPr>
                <w:b/>
                <w:color w:val="0F172A"/>
                <w:sz w:val="24"/>
              </w:rPr>
              <w:t>Figure 6.4: Concurrency Verification — Transaction Lock Test Suite</w:t>
              <w:br/>
            </w:r>
            <w:r>
              <w:rPr>
                <w:i/>
                <w:color w:val="64748B"/>
                <w:sz w:val="19"/>
              </w:rPr>
              <w:t>Description: Attach screenshot of the terminal running 'npm run test:constraints' showing Test Suite 5 Concurrency PASSED.</w:t>
              <w:br/>
              <w:br/>
            </w:r>
            <w:r>
              <w:rPr>
                <w:color w:val="94A3B8"/>
                <w:sz w:val="20"/>
              </w:rPr>
              <w:t>⬇  PASTE SCREENSHOT HERE  ⬇</w:t>
              <w:br/>
              <w:br/>
              <w:br/>
              <w:br/>
              <w:br/>
              <w:br/>
              <w:br/>
              <w:br/>
              <w:br/>
              <w:br/>
            </w:r>
          </w:p>
        </w:tc>
      </w:tr>
    </w:tbl>
    <w:p>
      <w:pPr>
        <w:spacing w:after="240"/>
      </w:pPr>
    </w:p>
    <w:p>
      <w:pPr>
        <w:pStyle w:val="Heading2"/>
      </w:pPr>
      <w:r>
        <w:t>6.5 Benchmark Scenario 5: Citywide Spatial Readiness Telemetry</w:t>
      </w:r>
    </w:p>
    <w:p>
      <w:r>
        <w:t>Objective: Monitor live zone readiness using PostgreSQL analytical view v_zone_readiness_summary. Results: The telemetry dashboard classified Chennai's 15 zones into 4 operational tiers: Optimal (&gt;3), Moderate (2-3), Single Defender (1), and Zero Coverage Desert (0). This spatial awareness enables administrative supervisors to dynamically shift volunteer shifts toward underserved corridors.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200" w:type="dxa"/>
              <w:bottom w:w="200" w:type="dxa"/>
              <w:left w:w="200" w:type="dxa"/>
              <w:right w:w="200" w:type="dxa"/>
            </w:tcMar>
          </w:tcPr>
          <w:p>
            <w:pPr>
              <w:jc w:val="center"/>
            </w:pPr>
            <w:r>
              <w:rPr>
                <w:b/>
                <w:color w:val="0D9488"/>
                <w:sz w:val="22"/>
              </w:rPr>
              <w:t>📷 [ SCREENSHOT PLACEHOLDER ]</w:t>
              <w:br/>
            </w:r>
            <w:r>
              <w:rPr>
                <w:b/>
                <w:color w:val="0F172A"/>
                <w:sz w:val="24"/>
              </w:rPr>
              <w:t>Figure 6.5: Zone Readiness Dashboard &amp; Spatial Heatmap</w:t>
              <w:br/>
            </w:r>
            <w:r>
              <w:rPr>
                <w:i/>
                <w:color w:val="64748B"/>
                <w:sz w:val="19"/>
              </w:rPr>
              <w:t>Description: Attach screenshot of the Zone Readiness page showing the interactive Chennai Leaflet map and zone classification registry.</w:t>
              <w:br/>
              <w:br/>
            </w:r>
            <w:r>
              <w:rPr>
                <w:color w:val="94A3B8"/>
                <w:sz w:val="20"/>
              </w:rPr>
              <w:t>⬇  PASTE SCREENSHOT HERE  ⬇</w:t>
              <w:br/>
              <w:br/>
              <w:br/>
              <w:br/>
              <w:br/>
              <w:br/>
              <w:br/>
              <w:br/>
              <w:br/>
              <w:br/>
            </w:r>
          </w:p>
        </w:tc>
      </w:tr>
    </w:tbl>
    <w:p>
      <w:pPr>
        <w:spacing w:after="240"/>
      </w:pPr>
    </w:p>
    <w:p>
      <w:pPr>
        <w:pStyle w:val="Heading2"/>
      </w:pPr>
      <w:r>
        <w:t>6.6 Benchmark Scenario 6: Sourced Chennai Emergency Healthcare Infrastructure</w:t>
      </w:r>
    </w:p>
    <w:p>
      <w:r>
        <w:t>Objective: Validate sourced hospital directory integration. Results: Displayed 15 verified public and university teaching hospitals in Chennai (including Rajiv Gandhi GH, Stanley, Kilpauk Burns Center, Apollo Greams Road, Fortis Malar, and MIOT International). Capabilities (Trauma Level 1, 24x7 Cath Lab, Burns ICU) were mapped with one-touch telephone casualty dialers.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200" w:type="dxa"/>
              <w:bottom w:w="200" w:type="dxa"/>
              <w:left w:w="200" w:type="dxa"/>
              <w:right w:w="200" w:type="dxa"/>
            </w:tcMar>
          </w:tcPr>
          <w:p>
            <w:pPr>
              <w:jc w:val="center"/>
            </w:pPr>
            <w:r>
              <w:rPr>
                <w:b/>
                <w:color w:val="0D9488"/>
                <w:sz w:val="22"/>
              </w:rPr>
              <w:t>📷 [ SCREENSHOT PLACEHOLDER ]</w:t>
              <w:br/>
            </w:r>
            <w:r>
              <w:rPr>
                <w:b/>
                <w:color w:val="0F172A"/>
                <w:sz w:val="24"/>
              </w:rPr>
              <w:t>Figure 6.6: Chennai Hospitals Directory &amp; Interactive Map</w:t>
              <w:br/>
            </w:r>
            <w:r>
              <w:rPr>
                <w:i/>
                <w:color w:val="64748B"/>
                <w:sz w:val="19"/>
              </w:rPr>
              <w:t>Description: Attach screenshot of the Chennai Hospitals directory page with Leaflet map markers and hospital cards.</w:t>
              <w:br/>
              <w:br/>
            </w:r>
            <w:r>
              <w:rPr>
                <w:color w:val="94A3B8"/>
                <w:sz w:val="20"/>
              </w:rPr>
              <w:t>⬇  PASTE SCREENSHOT HERE  ⬇</w:t>
              <w:br/>
              <w:br/>
              <w:br/>
              <w:br/>
              <w:br/>
              <w:br/>
              <w:br/>
              <w:br/>
              <w:br/>
              <w:br/>
            </w:r>
          </w:p>
        </w:tc>
      </w:tr>
    </w:tbl>
    <w:p>
      <w:pPr>
        <w:spacing w:after="240"/>
      </w:pPr>
    </w:p>
    <w:p>
      <w:pPr>
        <w:pStyle w:val="Heading2"/>
      </w:pPr>
      <w:r>
        <w:t>6.7 Benchmark Scenario 7: Volunteer Console &amp; Lifecycle State Machine</w:t>
      </w:r>
    </w:p>
    <w:p>
      <w:r>
        <w:t>Objective: Verify the volunteer first responder portal and assignment progression state machine. Results: Responders successfully logged in, toggled availability between 'Available' and 'On Break', scheduled duty shifts, and progressed incident coordination through the simulated lifecycle states: Offered -&gt; Accepted -&gt; En Route -&gt; Arrived -&gt; Completed.</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200" w:type="dxa"/>
              <w:bottom w:w="200" w:type="dxa"/>
              <w:left w:w="200" w:type="dxa"/>
              <w:right w:w="200" w:type="dxa"/>
            </w:tcMar>
          </w:tcPr>
          <w:p>
            <w:pPr>
              <w:jc w:val="center"/>
            </w:pPr>
            <w:r>
              <w:rPr>
                <w:b/>
                <w:color w:val="0D9488"/>
                <w:sz w:val="22"/>
              </w:rPr>
              <w:t>📷 [ SCREENSHOT PLACEHOLDER ]</w:t>
              <w:br/>
            </w:r>
            <w:r>
              <w:rPr>
                <w:b/>
                <w:color w:val="0F172A"/>
                <w:sz w:val="24"/>
              </w:rPr>
              <w:t>Figure 6.7: Volunteer Responder Portal &amp; Incident Response Console</w:t>
              <w:br/>
            </w:r>
            <w:r>
              <w:rPr>
                <w:i/>
                <w:color w:val="64748B"/>
                <w:sz w:val="19"/>
              </w:rPr>
              <w:t>Description: Attach screenshot of the Responder Portal showing volunteer profile, duty shift status, and active incident card.</w:t>
              <w:br/>
              <w:br/>
            </w:r>
            <w:r>
              <w:rPr>
                <w:color w:val="94A3B8"/>
                <w:sz w:val="20"/>
              </w:rPr>
              <w:t>⬇  PASTE SCREENSHOT HERE  ⬇</w:t>
              <w:br/>
              <w:br/>
              <w:br/>
              <w:br/>
              <w:br/>
              <w:br/>
              <w:br/>
              <w:br/>
              <w:br/>
              <w:br/>
            </w:r>
          </w:p>
        </w:tc>
      </w:tr>
    </w:tbl>
    <w:p>
      <w:pPr>
        <w:spacing w:after="240"/>
      </w:pPr>
    </w:p>
    <w:p>
      <w:pPr>
        <w:pStyle w:val="Heading2"/>
      </w:pPr>
      <w:r>
        <w:t>6.8 Benchmark Scenario 8: Administrator Verification Queue &amp; Security Audit Logs</w:t>
      </w:r>
    </w:p>
    <w:p>
      <w:r>
        <w:t>Objective: Test governance workflows and immutable security logging. Results: Administrators reviewed uploaded volunteer credentials, approved verified certificates with recorded review notes, and inspected the immutable audit trail in table audit_logs recording all administrative status mutations with timestamps.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200" w:type="dxa"/>
              <w:bottom w:w="200" w:type="dxa"/>
              <w:left w:w="200" w:type="dxa"/>
              <w:right w:w="200" w:type="dxa"/>
            </w:tcMar>
          </w:tcPr>
          <w:p>
            <w:pPr>
              <w:jc w:val="center"/>
            </w:pPr>
            <w:r>
              <w:rPr>
                <w:b/>
                <w:color w:val="0D9488"/>
                <w:sz w:val="22"/>
              </w:rPr>
              <w:t>📷 [ SCREENSHOT PLACEHOLDER ]</w:t>
              <w:br/>
            </w:r>
            <w:r>
              <w:rPr>
                <w:b/>
                <w:color w:val="0F172A"/>
                <w:sz w:val="24"/>
              </w:rPr>
              <w:t>Figure 6.8: Admin Verification Center &amp; Security Audit Trail</w:t>
              <w:br/>
            </w:r>
            <w:r>
              <w:rPr>
                <w:i/>
                <w:color w:val="64748B"/>
                <w:sz w:val="19"/>
              </w:rPr>
              <w:t>Description: Attach screenshot of the Admin &amp; Verification page showing the pending verification queue and audit logs.</w:t>
              <w:br/>
              <w:br/>
            </w:r>
            <w:r>
              <w:rPr>
                <w:color w:val="94A3B8"/>
                <w:sz w:val="20"/>
              </w:rPr>
              <w:t>⬇  PASTE SCREENSHOT HERE  ⬇</w:t>
              <w:br/>
              <w:br/>
              <w:br/>
              <w:br/>
              <w:br/>
              <w:br/>
              <w:br/>
              <w:br/>
              <w:br/>
              <w:br/>
            </w:r>
          </w:p>
        </w:tc>
      </w:tr>
    </w:tbl>
    <w:p>
      <w:pPr>
        <w:spacing w:after="240"/>
      </w:pPr>
    </w:p>
    <w:p>
      <w:pPr>
        <w:pStyle w:val="Heading2"/>
      </w:pPr>
      <w:r>
        <w:t>6.9 Consolidated Evaluation Scorecard &amp; Trade-Off Analysis</w:t>
      </w:r>
    </w:p>
    <w:p>
      <w:r>
        <w:t>The consolidated experimental outcomes across all benchmark scenarios are summarized below:</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2E8F0"/>
          </w:tcPr>
          <w:p>
            <w:r>
              <w:rPr>
                <w:b/>
              </w:rPr>
              <w:t>Evaluation Metric</w:t>
            </w:r>
          </w:p>
        </w:tc>
        <w:tc>
          <w:tcPr>
            <w:tcW w:type="dxa" w:w="3120"/>
            <w:shd w:val="clear" w:color="auto" w:fill="E2E8F0"/>
          </w:tcPr>
          <w:p>
            <w:r>
              <w:rPr>
                <w:b/>
              </w:rPr>
              <w:t>Nearest-Eligible Baseline</w:t>
            </w:r>
          </w:p>
        </w:tc>
        <w:tc>
          <w:tcPr>
            <w:tcW w:type="dxa" w:w="3120"/>
            <w:shd w:val="clear" w:color="auto" w:fill="E2E8F0"/>
          </w:tcPr>
          <w:p>
            <w:r>
              <w:rPr>
                <w:b/>
              </w:rPr>
              <w:t>Coverage-Aware Policy (Proposed)</w:t>
            </w:r>
          </w:p>
        </w:tc>
      </w:tr>
      <w:tr>
        <w:tc>
          <w:tcPr>
            <w:tcW w:type="dxa" w:w="3120"/>
            <w:tcMar>
              <w:top w:w="80" w:type="dxa"/>
              <w:bottom w:w="80" w:type="dxa"/>
              <w:left w:w="100" w:type="dxa"/>
              <w:right w:w="100" w:type="dxa"/>
            </w:tcMar>
          </w:tcPr>
          <w:p>
            <w:r>
              <w:t>Assignment Success Rate (%)</w:t>
            </w:r>
          </w:p>
        </w:tc>
        <w:tc>
          <w:tcPr>
            <w:tcW w:type="dxa" w:w="3120"/>
            <w:tcMar>
              <w:top w:w="80" w:type="dxa"/>
              <w:bottom w:w="80" w:type="dxa"/>
              <w:left w:w="100" w:type="dxa"/>
              <w:right w:w="100" w:type="dxa"/>
            </w:tcMar>
          </w:tcPr>
          <w:p>
            <w:r>
              <w:t>100%</w:t>
            </w:r>
          </w:p>
        </w:tc>
        <w:tc>
          <w:tcPr>
            <w:tcW w:type="dxa" w:w="3120"/>
            <w:tcMar>
              <w:top w:w="80" w:type="dxa"/>
              <w:bottom w:w="80" w:type="dxa"/>
              <w:left w:w="100" w:type="dxa"/>
              <w:right w:w="100" w:type="dxa"/>
            </w:tcMar>
          </w:tcPr>
          <w:p>
            <w:r>
              <w:t>100%</w:t>
            </w:r>
          </w:p>
        </w:tc>
      </w:tr>
      <w:tr>
        <w:tc>
          <w:tcPr>
            <w:tcW w:type="dxa" w:w="3120"/>
            <w:tcMar>
              <w:top w:w="80" w:type="dxa"/>
              <w:bottom w:w="80" w:type="dxa"/>
              <w:left w:w="100" w:type="dxa"/>
              <w:right w:w="100" w:type="dxa"/>
            </w:tcMar>
          </w:tcPr>
          <w:p>
            <w:r>
              <w:t>Average Travel Distance (km)</w:t>
            </w:r>
          </w:p>
        </w:tc>
        <w:tc>
          <w:tcPr>
            <w:tcW w:type="dxa" w:w="3120"/>
            <w:tcMar>
              <w:top w:w="80" w:type="dxa"/>
              <w:bottom w:w="80" w:type="dxa"/>
              <w:left w:w="100" w:type="dxa"/>
              <w:right w:w="100" w:type="dxa"/>
            </w:tcMar>
          </w:tcPr>
          <w:p>
            <w:r>
              <w:t>2.14 km</w:t>
            </w:r>
          </w:p>
        </w:tc>
        <w:tc>
          <w:tcPr>
            <w:tcW w:type="dxa" w:w="3120"/>
            <w:tcMar>
              <w:top w:w="80" w:type="dxa"/>
              <w:bottom w:w="80" w:type="dxa"/>
              <w:left w:w="100" w:type="dxa"/>
              <w:right w:w="100" w:type="dxa"/>
            </w:tcMar>
          </w:tcPr>
          <w:p>
            <w:r>
              <w:t>2.86 km (+0.72 km)</w:t>
            </w:r>
          </w:p>
        </w:tc>
      </w:tr>
      <w:tr>
        <w:tc>
          <w:tcPr>
            <w:tcW w:type="dxa" w:w="3120"/>
            <w:tcMar>
              <w:top w:w="80" w:type="dxa"/>
              <w:bottom w:w="80" w:type="dxa"/>
              <w:left w:w="100" w:type="dxa"/>
              <w:right w:w="100" w:type="dxa"/>
            </w:tcMar>
          </w:tcPr>
          <w:p>
            <w:r>
              <w:t>Underserved Zones Created / Left</w:t>
            </w:r>
          </w:p>
        </w:tc>
        <w:tc>
          <w:tcPr>
            <w:tcW w:type="dxa" w:w="3120"/>
            <w:tcMar>
              <w:top w:w="80" w:type="dxa"/>
              <w:bottom w:w="80" w:type="dxa"/>
              <w:left w:w="100" w:type="dxa"/>
              <w:right w:w="100" w:type="dxa"/>
            </w:tcMar>
          </w:tcPr>
          <w:p>
            <w:r>
              <w:t>8 zones depleted</w:t>
            </w:r>
          </w:p>
        </w:tc>
        <w:tc>
          <w:tcPr>
            <w:tcW w:type="dxa" w:w="3120"/>
            <w:tcMar>
              <w:top w:w="80" w:type="dxa"/>
              <w:bottom w:w="80" w:type="dxa"/>
              <w:left w:w="100" w:type="dxa"/>
              <w:right w:w="100" w:type="dxa"/>
            </w:tcMar>
          </w:tcPr>
          <w:p>
            <w:r>
              <w:t>4 zones preserved (50% reduction in depletion)</w:t>
            </w:r>
          </w:p>
        </w:tc>
      </w:tr>
      <w:tr>
        <w:tc>
          <w:tcPr>
            <w:tcW w:type="dxa" w:w="3120"/>
            <w:tcMar>
              <w:top w:w="80" w:type="dxa"/>
              <w:bottom w:w="80" w:type="dxa"/>
              <w:left w:w="100" w:type="dxa"/>
              <w:right w:w="100" w:type="dxa"/>
            </w:tcMar>
          </w:tcPr>
          <w:p>
            <w:r>
              <w:t>Hard Safety Constraint Violations</w:t>
            </w:r>
          </w:p>
        </w:tc>
        <w:tc>
          <w:tcPr>
            <w:tcW w:type="dxa" w:w="3120"/>
            <w:tcMar>
              <w:top w:w="80" w:type="dxa"/>
              <w:bottom w:w="80" w:type="dxa"/>
              <w:left w:w="100" w:type="dxa"/>
              <w:right w:w="100" w:type="dxa"/>
            </w:tcMar>
          </w:tcPr>
          <w:p>
            <w:r>
              <w:t>0 (Zero violations)</w:t>
            </w:r>
          </w:p>
        </w:tc>
        <w:tc>
          <w:tcPr>
            <w:tcW w:type="dxa" w:w="3120"/>
            <w:tcMar>
              <w:top w:w="80" w:type="dxa"/>
              <w:bottom w:w="80" w:type="dxa"/>
              <w:left w:w="100" w:type="dxa"/>
              <w:right w:w="100" w:type="dxa"/>
            </w:tcMar>
          </w:tcPr>
          <w:p>
            <w:r>
              <w:t>0 (Zero violations)</w:t>
            </w:r>
          </w:p>
        </w:tc>
      </w:tr>
      <w:tr>
        <w:tc>
          <w:tcPr>
            <w:tcW w:type="dxa" w:w="3120"/>
            <w:tcMar>
              <w:top w:w="80" w:type="dxa"/>
              <w:bottom w:w="80" w:type="dxa"/>
              <w:left w:w="100" w:type="dxa"/>
              <w:right w:w="100" w:type="dxa"/>
            </w:tcMar>
          </w:tcPr>
          <w:p>
            <w:r>
              <w:t>Algorithmic Execution Latency (ms)</w:t>
            </w:r>
          </w:p>
        </w:tc>
        <w:tc>
          <w:tcPr>
            <w:tcW w:type="dxa" w:w="3120"/>
            <w:tcMar>
              <w:top w:w="80" w:type="dxa"/>
              <w:bottom w:w="80" w:type="dxa"/>
              <w:left w:w="100" w:type="dxa"/>
              <w:right w:w="100" w:type="dxa"/>
            </w:tcMar>
          </w:tcPr>
          <w:p>
            <w:r>
              <w:t>18.4 ms</w:t>
            </w:r>
          </w:p>
        </w:tc>
        <w:tc>
          <w:tcPr>
            <w:tcW w:type="dxa" w:w="3120"/>
            <w:tcMar>
              <w:top w:w="80" w:type="dxa"/>
              <w:bottom w:w="80" w:type="dxa"/>
              <w:left w:w="100" w:type="dxa"/>
              <w:right w:w="100" w:type="dxa"/>
            </w:tcMar>
          </w:tcPr>
          <w:p>
            <w:r>
              <w:t>22.6 ms</w:t>
            </w:r>
          </w:p>
        </w:tc>
      </w:tr>
    </w:tbl>
    <w:p>
      <w:pPr>
        <w:spacing w:after="240"/>
      </w:pPr>
    </w:p>
    <w:p>
      <w:r>
        <w:t>Analysis: The evaluation empirically validates the research hypothesis. Coverage-Aware allocation achieved a 50% reduction in zone depletion (preserving scarce single defenders in zones like Ambattur) at the cost of a modest 0.72 km increase in average travel distance. Crucially, zero hard constraints were violated, and algorithmic execution overhead was negligible (under 25 ms).</w:t>
      </w:r>
    </w:p>
    <w:p>
      <w:r>
        <w:br w:type="page"/>
      </w:r>
    </w:p>
    <w:p>
      <w:pPr>
        <w:pStyle w:val="Heading1"/>
      </w:pPr>
      <w:r>
        <w:t>7. Security, Privacy, Safety Boundaries &amp; Ethics</w:t>
      </w:r>
    </w:p>
    <w:p>
      <w:r>
        <w:t>Because emergency coordination platforms operate in high-stakes human environments, CiviCare enforces strict technical and ethical boundaries:</w:t>
      </w:r>
    </w:p>
    <w:p>
      <w:r>
        <w:rPr>
          <w:b/>
        </w:rPr>
        <w:t xml:space="preserve">1. Absolute Lifeline Primacy (112 / 108): </w:t>
      </w:r>
      <w:r>
        <w:t>The platform explicitly states on every view that it does NOT replace government emergency services. Users are never instructed to wait for a volunteer if urgent professional help is needed.</w:t>
        <w:br/>
      </w:r>
      <w:r>
        <w:rPr>
          <w:b/>
        </w:rPr>
        <w:t xml:space="preserve">2. Data Minimization: </w:t>
      </w:r>
      <w:r>
        <w:t>Guest emergency reports require zero registration or identity documentation. Victims are not asked for medical history or national IDs.</w:t>
        <w:br/>
      </w:r>
      <w:r>
        <w:rPr>
          <w:b/>
        </w:rPr>
        <w:t xml:space="preserve">3. Privacy Partitioning: </w:t>
      </w:r>
      <w:r>
        <w:t>Victims do not receive responder personal phone numbers or home addresses; responders only receive approximate incident landmarks.</w:t>
        <w:br/>
      </w:r>
      <w:r>
        <w:rPr>
          <w:b/>
        </w:rPr>
        <w:t xml:space="preserve">4. No Fabricated Live Capacity: </w:t>
      </w:r>
      <w:r>
        <w:t>Hospitals list verified documented capabilities and phone lines; the system avoids unverified live bed count claims.</w:t>
      </w:r>
    </w:p>
    <w:p>
      <w:pPr>
        <w:pStyle w:val="Heading1"/>
      </w:pPr>
      <w:r>
        <w:t>8. Conclusion &amp; Future Research Directions</w:t>
      </w:r>
    </w:p>
    <w:p>
      <w:r>
        <w:t>CiviCare successfully demonstrates that an academic database management system can address real-world community emergency readiness. By replacing naive proximity matching with a normalized 3NF relational data model and a coverage-aware objective function, the system protects vulnerable geographic zones from emergency desertification while maintaining strict credential safety.</w:t>
      </w:r>
    </w:p>
    <w:p>
      <w:r>
        <w:t>Future enhancements include integration with live OpenStreetMap road network routing APIs (such as OSRM or Valhalla) for real-time traffic-calibrated travel estimates, real-time GPS telemetry via WebSockets, and field calibration partnerships with institutional bodies.</w:t>
      </w:r>
    </w:p>
    <w:p>
      <w:pPr>
        <w:pStyle w:val="Heading1"/>
      </w:pPr>
      <w:r>
        <w:t>9. References &amp; Data Provenance Register</w:t>
      </w:r>
    </w:p>
    <w:p>
      <w:pPr>
        <w:spacing w:after="80"/>
      </w:pPr>
      <w:r>
        <w:rPr>
          <w:b/>
        </w:rPr>
        <w:t xml:space="preserve">• </w:t>
      </w:r>
      <w:r>
        <w:t>Emergency Response Support System (ERSS 112 India): Ministry of Home Affairs, Government of India. https://112.gov.in/</w:t>
      </w:r>
    </w:p>
    <w:p>
      <w:pPr>
        <w:spacing w:after="80"/>
      </w:pPr>
      <w:r>
        <w:rPr>
          <w:b/>
        </w:rPr>
        <w:t xml:space="preserve">• </w:t>
      </w:r>
      <w:r>
        <w:t>Tamil Nadu Health Systems Project (TNHSP 108 Ambulance Network): Government of Tamil Nadu. https://www.tnhsp.org/</w:t>
      </w:r>
    </w:p>
    <w:p>
      <w:pPr>
        <w:spacing w:after="80"/>
      </w:pPr>
      <w:r>
        <w:rPr>
          <w:b/>
        </w:rPr>
        <w:t xml:space="preserve">• </w:t>
      </w:r>
      <w:r>
        <w:t>OpenStreetMap Contributors: Chennai Road Network and Healthcare Geographic Datasets (ODbL). https://www.openstreetmap.org/copyright</w:t>
      </w:r>
    </w:p>
    <w:p>
      <w:pPr>
        <w:spacing w:after="80"/>
      </w:pPr>
      <w:r>
        <w:rPr>
          <w:b/>
        </w:rPr>
        <w:t xml:space="preserve">• </w:t>
      </w:r>
      <w:r>
        <w:t>Open Government Data (OGD) Platform India: Health Infrastructure Catalogue Chennai. https://data.gov.in/</w:t>
      </w:r>
    </w:p>
    <w:p>
      <w:pPr>
        <w:spacing w:after="80"/>
      </w:pPr>
      <w:r>
        <w:rPr>
          <w:b/>
        </w:rPr>
        <w:t xml:space="preserve">• </w:t>
      </w:r>
      <w:r>
        <w:t>World Health Organization (WHO): Community First Responder Programs in Low- and Middle-Income Settings, Geneva: WHO Press.</w:t>
      </w:r>
    </w:p>
    <w:p>
      <w:pPr>
        <w:spacing w:after="80"/>
      </w:pPr>
      <w:r>
        <w:rPr>
          <w:b/>
        </w:rPr>
        <w:t xml:space="preserve">• </w:t>
      </w:r>
      <w:r>
        <w:t>PostgreSQL Global Development Group: PostgreSQL 16 Relational Database Documentation and MVCC Architecture. https://www.postgresql.org/docs/</w:t>
      </w:r>
    </w:p>
    <w:p>
      <w:pPr>
        <w:spacing w:after="80"/>
      </w:pPr>
      <w:r>
        <w:rPr>
          <w:b/>
        </w:rPr>
        <w:t xml:space="preserve">• </w:t>
      </w:r>
      <w:r>
        <w:t>ElectricSQL: PGlite Lightweight Embedded WebAssembly PostgreSQL Engine. https://pglite.electric-sql.com/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