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440" w:lineRule="auto"/>
        <w:rPr>
          <w:rFonts w:ascii="Arial" w:cs="Arial" w:eastAsia="Arial" w:hAnsi="Arial"/>
          <w:b w:val="1"/>
          <w:bCs w:val="1"/>
          <w:sz w:val="72"/>
          <w:szCs w:val="72"/>
        </w:rPr>
      </w:pPr>
      <w:r w:rsidDel="00000000" w:rsidR="00000000" w:rsidRPr="00000000">
        <w:rPr>
          <w:rtl w:val="0"/>
        </w:rPr>
      </w:r>
    </w:p>
    <w:p w:rsidR="00000000" w:rsidDel="00000000" w:rsidP="00000000" w:rsidRDefault="00000000" w:rsidRPr="00000000" w14:paraId="00000002">
      <w:pPr>
        <w:spacing w:after="160" w:before="1440" w:lineRule="auto"/>
        <w:rPr>
          <w:rFonts w:ascii="Arial" w:cs="Arial" w:eastAsia="Arial" w:hAnsi="Arial"/>
        </w:rPr>
      </w:pPr>
      <w:r w:rsidDel="00000000" w:rsidR="00000000" w:rsidRPr="00000000">
        <w:rPr>
          <w:rFonts w:ascii="Arial" w:cs="Arial" w:eastAsia="Arial" w:hAnsi="Arial"/>
          <w:b w:val="1"/>
          <w:bCs w:val="1"/>
          <w:sz w:val="72"/>
          <w:szCs w:val="72"/>
          <w:rtl w:val="0"/>
        </w:rPr>
        <w:t xml:space="preserve">CiviCare</w:t>
      </w:r>
      <w:r w:rsidDel="00000000" w:rsidR="00000000" w:rsidRPr="00000000">
        <w:rPr>
          <w:rtl w:val="0"/>
        </w:rPr>
      </w:r>
    </w:p>
    <w:p w:rsidR="00000000" w:rsidDel="00000000" w:rsidP="00000000" w:rsidRDefault="00000000" w:rsidRPr="00000000" w14:paraId="00000003">
      <w:pPr>
        <w:spacing w:after="480" w:lineRule="auto"/>
        <w:rPr>
          <w:rFonts w:ascii="Arial" w:cs="Arial" w:eastAsia="Arial" w:hAnsi="Arial"/>
        </w:rPr>
      </w:pPr>
      <w:r w:rsidDel="00000000" w:rsidR="00000000" w:rsidRPr="00000000">
        <w:rPr>
          <w:rFonts w:ascii="Arial" w:cs="Arial" w:eastAsia="Arial" w:hAnsi="Arial"/>
          <w:b w:val="1"/>
          <w:bCs w:val="1"/>
          <w:sz w:val="32"/>
          <w:szCs w:val="32"/>
          <w:rtl w:val="0"/>
        </w:rPr>
        <w:t xml:space="preserve">Community First Responder Readiness &amp; Coordination System</w:t>
        <w:br w:type="textWrapping"/>
      </w:r>
      <w:r w:rsidDel="00000000" w:rsidR="00000000" w:rsidRPr="00000000">
        <w:rPr>
          <w:rFonts w:ascii="Arial" w:cs="Arial" w:eastAsia="Arial" w:hAnsi="Arial"/>
          <w:i w:val="1"/>
          <w:iCs w:val="1"/>
          <w:sz w:val="24"/>
          <w:szCs w:val="24"/>
          <w:rtl w:val="0"/>
        </w:rPr>
        <w:t xml:space="preserve">A Database-Centric Spatial Framework for Coverage-Aware Volunteer Emergency Allocation in Urban Environments</w:t>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sz w:val="36"/>
          <w:szCs w:val="36"/>
          <w:rtl w:val="0"/>
        </w:rPr>
        <w:t xml:space="preserve">Table of Contents</w:t>
      </w:r>
      <w:r w:rsidDel="00000000" w:rsidR="00000000" w:rsidRPr="00000000">
        <w:rPr>
          <w:rtl w:val="0"/>
        </w:rPr>
      </w:r>
    </w:p>
    <w:p w:rsidR="00000000" w:rsidDel="00000000" w:rsidP="00000000" w:rsidRDefault="00000000" w:rsidRPr="00000000" w14:paraId="00000006">
      <w:pPr>
        <w:spacing w:after="80" w:lineRule="auto"/>
        <w:rPr>
          <w:rFonts w:ascii="Arial" w:cs="Arial" w:eastAsia="Arial" w:hAnsi="Arial"/>
        </w:rPr>
      </w:pPr>
      <w:r w:rsidDel="00000000" w:rsidR="00000000" w:rsidRPr="00000000">
        <w:rPr>
          <w:rFonts w:ascii="Arial" w:cs="Arial" w:eastAsia="Arial" w:hAnsi="Arial"/>
          <w:rtl w:val="0"/>
        </w:rPr>
        <w:t xml:space="preserve">1. Executive Summary &amp; Problem Formulation</w:t>
      </w:r>
      <w:r w:rsidDel="00000000" w:rsidR="00000000" w:rsidRPr="00000000">
        <w:rPr>
          <w:rtl w:val="0"/>
        </w:rPr>
      </w:r>
    </w:p>
    <w:p w:rsidR="00000000" w:rsidDel="00000000" w:rsidP="00000000" w:rsidRDefault="00000000" w:rsidRPr="00000000" w14:paraId="00000007">
      <w:pPr>
        <w:spacing w:after="80" w:lineRule="auto"/>
        <w:rPr>
          <w:rFonts w:ascii="Arial" w:cs="Arial" w:eastAsia="Arial" w:hAnsi="Arial"/>
        </w:rPr>
      </w:pPr>
      <w:r w:rsidDel="00000000" w:rsidR="00000000" w:rsidRPr="00000000">
        <w:rPr>
          <w:rFonts w:ascii="Arial" w:cs="Arial" w:eastAsia="Arial" w:hAnsi="Arial"/>
          <w:rtl w:val="0"/>
        </w:rPr>
        <w:t xml:space="preserve">2. Research Motivation &amp; Novel Algorithmic Contribution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8">
      <w:pPr>
        <w:spacing w:after="80" w:lineRule="auto"/>
        <w:rPr>
          <w:rFonts w:ascii="Arial" w:cs="Arial" w:eastAsia="Arial" w:hAnsi="Arial"/>
        </w:rPr>
      </w:pPr>
      <w:r w:rsidDel="00000000" w:rsidR="00000000" w:rsidRPr="00000000">
        <w:rPr>
          <w:rFonts w:ascii="Arial" w:cs="Arial" w:eastAsia="Arial" w:hAnsi="Arial"/>
          <w:rtl w:val="0"/>
        </w:rPr>
        <w:t xml:space="preserve">3. System Architecture &amp; Request Lifecycle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9">
      <w:pPr>
        <w:spacing w:after="80" w:lineRule="auto"/>
        <w:rPr>
          <w:rFonts w:ascii="Arial" w:cs="Arial" w:eastAsia="Arial" w:hAnsi="Arial"/>
        </w:rPr>
      </w:pPr>
      <w:r w:rsidDel="00000000" w:rsidR="00000000" w:rsidRPr="00000000">
        <w:rPr>
          <w:rFonts w:ascii="Arial" w:cs="Arial" w:eastAsia="Arial" w:hAnsi="Arial"/>
          <w:rtl w:val="0"/>
        </w:rPr>
        <w:t xml:space="preserve">4. Relational Database Design (PostgreSQL 3NF Schema)</w:t>
      </w:r>
    </w:p>
    <w:p w:rsidR="00000000" w:rsidDel="00000000" w:rsidP="00000000" w:rsidRDefault="00000000" w:rsidRPr="00000000" w14:paraId="0000000A">
      <w:pPr>
        <w:spacing w:after="80" w:lineRule="auto"/>
        <w:rPr>
          <w:rFonts w:ascii="Arial" w:cs="Arial" w:eastAsia="Arial" w:hAnsi="Arial"/>
        </w:rPr>
      </w:pPr>
      <w:r w:rsidDel="00000000" w:rsidR="00000000" w:rsidRPr="00000000">
        <w:rPr>
          <w:rFonts w:ascii="Arial" w:cs="Arial" w:eastAsia="Arial" w:hAnsi="Arial"/>
          <w:rtl w:val="0"/>
        </w:rPr>
        <w:t xml:space="preserve">5. Allocation Engine &amp; Algorithmic Methodology</w:t>
      </w:r>
    </w:p>
    <w:p w:rsidR="00000000" w:rsidDel="00000000" w:rsidP="00000000" w:rsidRDefault="00000000" w:rsidRPr="00000000" w14:paraId="0000000B">
      <w:pPr>
        <w:spacing w:after="80" w:lineRule="auto"/>
        <w:rPr>
          <w:rFonts w:ascii="Arial" w:cs="Arial" w:eastAsia="Arial" w:hAnsi="Arial"/>
        </w:rPr>
      </w:pPr>
      <w:r w:rsidDel="00000000" w:rsidR="00000000" w:rsidRPr="00000000">
        <w:rPr>
          <w:rFonts w:ascii="Arial" w:cs="Arial" w:eastAsia="Arial" w:hAnsi="Arial"/>
          <w:rtl w:val="0"/>
        </w:rPr>
        <w:t xml:space="preserve">6. Experimental Evaluation, Results &amp; Screenshot Evidence</w:t>
      </w:r>
    </w:p>
    <w:p w:rsidR="00000000" w:rsidDel="00000000" w:rsidP="00000000" w:rsidRDefault="00000000" w:rsidRPr="00000000" w14:paraId="0000000C">
      <w:pPr>
        <w:spacing w:after="80" w:lineRule="auto"/>
        <w:rPr>
          <w:rFonts w:ascii="Arial" w:cs="Arial" w:eastAsia="Arial" w:hAnsi="Arial"/>
        </w:rPr>
      </w:pPr>
      <w:r w:rsidDel="00000000" w:rsidR="00000000" w:rsidRPr="00000000">
        <w:rPr>
          <w:rFonts w:ascii="Arial" w:cs="Arial" w:eastAsia="Arial" w:hAnsi="Arial"/>
          <w:rtl w:val="0"/>
        </w:rPr>
        <w:t xml:space="preserve">    6.1 Scenario 1: Normal Urban Distribution Benchmark</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D">
      <w:pPr>
        <w:spacing w:after="80" w:lineRule="auto"/>
        <w:rPr>
          <w:rFonts w:ascii="Arial" w:cs="Arial" w:eastAsia="Arial" w:hAnsi="Arial"/>
        </w:rPr>
      </w:pPr>
      <w:r w:rsidDel="00000000" w:rsidR="00000000" w:rsidRPr="00000000">
        <w:rPr>
          <w:rFonts w:ascii="Arial" w:cs="Arial" w:eastAsia="Arial" w:hAnsi="Arial"/>
          <w:rtl w:val="0"/>
        </w:rPr>
        <w:t xml:space="preserve">    6.2 Scenario 2: Sparse Zone Coverage Depletion Test (Ambattur Protection)</w:t>
      </w:r>
    </w:p>
    <w:p w:rsidR="00000000" w:rsidDel="00000000" w:rsidP="00000000" w:rsidRDefault="00000000" w:rsidRPr="00000000" w14:paraId="0000000E">
      <w:pPr>
        <w:spacing w:after="80" w:lineRule="auto"/>
        <w:rPr>
          <w:rFonts w:ascii="Arial" w:cs="Arial" w:eastAsia="Arial" w:hAnsi="Arial"/>
        </w:rPr>
      </w:pPr>
      <w:r w:rsidDel="00000000" w:rsidR="00000000" w:rsidRPr="00000000">
        <w:rPr>
          <w:rFonts w:ascii="Arial" w:cs="Arial" w:eastAsia="Arial" w:hAnsi="Arial"/>
          <w:rtl w:val="0"/>
        </w:rPr>
        <w:t xml:space="preserve">    6.3 Scenario 3: Expired Credential Disqualification Audit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F">
      <w:pPr>
        <w:spacing w:after="80" w:lineRule="auto"/>
        <w:rPr>
          <w:rFonts w:ascii="Arial" w:cs="Arial" w:eastAsia="Arial" w:hAnsi="Arial"/>
        </w:rPr>
      </w:pPr>
      <w:r w:rsidDel="00000000" w:rsidR="00000000" w:rsidRPr="00000000">
        <w:rPr>
          <w:rFonts w:ascii="Arial" w:cs="Arial" w:eastAsia="Arial" w:hAnsi="Arial"/>
          <w:rtl w:val="0"/>
        </w:rPr>
        <w:t xml:space="preserve">    6.4 Scenario 4: Concurrency &amp; Double-Assignment Race Condition Prevention</w:t>
      </w:r>
      <w:r w:rsidDel="00000000" w:rsidR="00000000" w:rsidRPr="00000000">
        <w:rPr>
          <w:rtl w:val="0"/>
        </w:rPr>
      </w:r>
    </w:p>
    <w:p w:rsidR="00000000" w:rsidDel="00000000" w:rsidP="00000000" w:rsidRDefault="00000000" w:rsidRPr="00000000" w14:paraId="00000010">
      <w:pPr>
        <w:spacing w:after="80" w:lineRule="auto"/>
        <w:rPr>
          <w:rFonts w:ascii="Arial" w:cs="Arial" w:eastAsia="Arial" w:hAnsi="Arial"/>
        </w:rPr>
      </w:pPr>
      <w:r w:rsidDel="00000000" w:rsidR="00000000" w:rsidRPr="00000000">
        <w:rPr>
          <w:rFonts w:ascii="Arial" w:cs="Arial" w:eastAsia="Arial" w:hAnsi="Arial"/>
          <w:rtl w:val="0"/>
        </w:rPr>
        <w:t xml:space="preserve">    6.5 Scenario 5: Citywide Spatial Readiness Telemetry &amp; Zone Classification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1">
      <w:pPr>
        <w:spacing w:after="80" w:lineRule="auto"/>
        <w:rPr>
          <w:rFonts w:ascii="Arial" w:cs="Arial" w:eastAsia="Arial" w:hAnsi="Arial"/>
        </w:rPr>
      </w:pPr>
      <w:r w:rsidDel="00000000" w:rsidR="00000000" w:rsidRPr="00000000">
        <w:rPr>
          <w:rFonts w:ascii="Arial" w:cs="Arial" w:eastAsia="Arial" w:hAnsi="Arial"/>
          <w:rtl w:val="0"/>
        </w:rPr>
        <w:t xml:space="preserve">    6.6 Scenario 6: Sourced Chennai Emergency Healthcare Infrastructure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2">
      <w:pPr>
        <w:spacing w:after="80" w:lineRule="auto"/>
        <w:rPr>
          <w:rFonts w:ascii="Arial" w:cs="Arial" w:eastAsia="Arial" w:hAnsi="Arial"/>
        </w:rPr>
      </w:pPr>
      <w:r w:rsidDel="00000000" w:rsidR="00000000" w:rsidRPr="00000000">
        <w:rPr>
          <w:rFonts w:ascii="Arial" w:cs="Arial" w:eastAsia="Arial" w:hAnsi="Arial"/>
          <w:rtl w:val="0"/>
        </w:rPr>
        <w:t xml:space="preserve">    6.7 Scenario 7: Volunteer Console, Duty Shifts &amp; Incident Progression</w:t>
      </w:r>
      <w:r w:rsidDel="00000000" w:rsidR="00000000" w:rsidRPr="00000000">
        <w:rPr>
          <w:rFonts w:ascii="Arial" w:cs="Arial" w:eastAsia="Arial" w:hAnsi="Arial"/>
          <w:rtl w:val="0"/>
        </w:rPr>
        <w:t xml:space="preserve"> </w:t>
      </w:r>
    </w:p>
    <w:p w:rsidR="00000000" w:rsidDel="00000000" w:rsidP="00000000" w:rsidRDefault="00000000" w:rsidRPr="00000000" w14:paraId="00000013">
      <w:pPr>
        <w:spacing w:after="80" w:lineRule="auto"/>
        <w:rPr>
          <w:rFonts w:ascii="Arial" w:cs="Arial" w:eastAsia="Arial" w:hAnsi="Arial"/>
        </w:rPr>
      </w:pPr>
      <w:r w:rsidDel="00000000" w:rsidR="00000000" w:rsidRPr="00000000">
        <w:rPr>
          <w:rFonts w:ascii="Arial" w:cs="Arial" w:eastAsia="Arial" w:hAnsi="Arial"/>
          <w:rtl w:val="0"/>
        </w:rPr>
        <w:t xml:space="preserve">    6.8 Scenario 8: Administrator Verification Queue &amp; Security Audit Logs</w:t>
      </w:r>
      <w:r w:rsidDel="00000000" w:rsidR="00000000" w:rsidRPr="00000000">
        <w:rPr>
          <w:rFonts w:ascii="Arial" w:cs="Arial" w:eastAsia="Arial" w:hAnsi="Arial"/>
          <w:rtl w:val="0"/>
        </w:rPr>
        <w:t xml:space="preserve"> </w:t>
      </w:r>
    </w:p>
    <w:p w:rsidR="00000000" w:rsidDel="00000000" w:rsidP="00000000" w:rsidRDefault="00000000" w:rsidRPr="00000000" w14:paraId="00000014">
      <w:pPr>
        <w:spacing w:after="80" w:lineRule="auto"/>
        <w:rPr>
          <w:rFonts w:ascii="Arial" w:cs="Arial" w:eastAsia="Arial" w:hAnsi="Arial"/>
        </w:rPr>
      </w:pPr>
      <w:r w:rsidDel="00000000" w:rsidR="00000000" w:rsidRPr="00000000">
        <w:rPr>
          <w:rFonts w:ascii="Arial" w:cs="Arial" w:eastAsia="Arial" w:hAnsi="Arial"/>
          <w:rtl w:val="0"/>
        </w:rPr>
        <w:t xml:space="preserve">    6.9 Consolidated Evaluation Scorecard &amp; Trade-Off Analysis</w:t>
      </w:r>
    </w:p>
    <w:p w:rsidR="00000000" w:rsidDel="00000000" w:rsidP="00000000" w:rsidRDefault="00000000" w:rsidRPr="00000000" w14:paraId="00000015">
      <w:pPr>
        <w:spacing w:after="80" w:lineRule="auto"/>
        <w:rPr>
          <w:rFonts w:ascii="Arial" w:cs="Arial" w:eastAsia="Arial" w:hAnsi="Arial"/>
        </w:rPr>
      </w:pPr>
      <w:r w:rsidDel="00000000" w:rsidR="00000000" w:rsidRPr="00000000">
        <w:rPr>
          <w:rFonts w:ascii="Arial" w:cs="Arial" w:eastAsia="Arial" w:hAnsi="Arial"/>
          <w:rtl w:val="0"/>
        </w:rPr>
        <w:t xml:space="preserve">7. Security, Privacy, Safety Boundaries &amp; Ethics</w:t>
      </w:r>
    </w:p>
    <w:p w:rsidR="00000000" w:rsidDel="00000000" w:rsidP="00000000" w:rsidRDefault="00000000" w:rsidRPr="00000000" w14:paraId="00000016">
      <w:pPr>
        <w:spacing w:after="80" w:lineRule="auto"/>
        <w:rPr>
          <w:rFonts w:ascii="Arial" w:cs="Arial" w:eastAsia="Arial" w:hAnsi="Arial"/>
        </w:rPr>
      </w:pPr>
      <w:r w:rsidDel="00000000" w:rsidR="00000000" w:rsidRPr="00000000">
        <w:rPr>
          <w:rFonts w:ascii="Arial" w:cs="Arial" w:eastAsia="Arial" w:hAnsi="Arial"/>
          <w:rtl w:val="0"/>
        </w:rPr>
        <w:t xml:space="preserve">8. Conclusion &amp; Future Research Directions</w:t>
      </w:r>
    </w:p>
    <w:p w:rsidR="00000000" w:rsidDel="00000000" w:rsidP="00000000" w:rsidRDefault="00000000" w:rsidRPr="00000000" w14:paraId="00000017">
      <w:pPr>
        <w:spacing w:after="80" w:lineRule="auto"/>
        <w:rPr>
          <w:rFonts w:ascii="Arial" w:cs="Arial" w:eastAsia="Arial" w:hAnsi="Arial"/>
        </w:rPr>
      </w:pPr>
      <w:r w:rsidDel="00000000" w:rsidR="00000000" w:rsidRPr="00000000">
        <w:rPr>
          <w:rFonts w:ascii="Arial" w:cs="Arial" w:eastAsia="Arial" w:hAnsi="Arial"/>
          <w:rtl w:val="0"/>
        </w:rPr>
        <w:t xml:space="preserve">9. References &amp; Data Provenance Register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40" w:lineRule="auto"/>
        <w:rPr>
          <w:rFonts w:ascii="Arial" w:cs="Arial" w:eastAsia="Arial" w:hAnsi="Arial"/>
          <w:color w:val="000000"/>
        </w:rPr>
      </w:pPr>
      <w:r w:rsidDel="00000000" w:rsidR="00000000" w:rsidRPr="00000000">
        <w:rPr>
          <w:rFonts w:ascii="Arial" w:cs="Arial" w:eastAsia="Arial" w:hAnsi="Arial"/>
          <w:color w:val="000000"/>
          <w:rtl w:val="0"/>
        </w:rPr>
        <w:t xml:space="preserve">1. Executive Summary &amp; Problem Formulation</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In sudden medical emergencies such as Out-of-Hospital Cardiac Arrest (OHCA), severe arterial hemorrhage, or airway choking, the probability of survival drops by approximately 7% to 10% with every passing minute before cardiopulmonary resuscitation (CPR) or bleeding control is initiated. In high-density metropolitan corridors such as Chennai, India, professional Emergency Response Support System (112) and ambulance units (108) face physical transit constraints imposed by urban congestion, peak-hour bottlenecks, and physical distance. Community First Responders (CFRs) – trained citizen volunteers equipped with basic life support skills and provide an invaluable bridge during these vital minutes.</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However, volunteer emergency dispatch involves complex operational constraints that cannot be resolved through simplistic geolocation alone. In conventional volunteer coordination platforms, matching is executed purely on a 'nearest-candidate' heuristic. This introduces a critical spatial failure mode termed the 'Emergency Desert Paradox': if an incident occurs near the boundary of an underserved zone, dispatching that zone's only qualified volunteer depletes residual coverage to absolute zero. If a subsequent emergency occurs in that underserved zone minutes later, no community responder is available.</w:t>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CiviCare is an academic Database Management System (DBMS) prototype designed to model and resolve this challenge. The project formulates and evaluates the Coverage-Aware Responder Allocation Policy, implemented atop a normalized Third Normal Form (3NF) relational database in PostgreSQL. The system couples strict safety constraints (verified credentials, active temporal shifts, and non-expired certifications) with an explainable objective cost function that balances travel proximity against residual area coverage preservation.</w:t>
      </w:r>
    </w:p>
    <w:p w:rsidR="00000000" w:rsidDel="00000000" w:rsidP="00000000" w:rsidRDefault="00000000" w:rsidRPr="00000000" w14:paraId="0000001D">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2. Research Motivation &amp; Novel Algorithmic Contribution</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While existing commercial platforms (such as GoodSAM in the UK and PulsePoint in North America) demonstrate the feasibility of crowdsourced responder alerting, their underlying dispatch logic typically optimizes strictly for individual estimated time of arrival (ETA). In resource-constrained urban environments with uneven volunteer density, such local optimization harms global area readiness.</w:t>
      </w:r>
    </w:p>
    <w:p w:rsidR="00000000" w:rsidDel="00000000" w:rsidP="00000000" w:rsidRDefault="00000000" w:rsidRPr="00000000" w14:paraId="0000001F">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2.1 The Academic Hypothesis</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Hypothesis: Under controlled urban spatial conditions with heterogeneous volunteer distributions, an allocation policy that incorporates residual zone readiness penalties preserves significantly superior area-level coverage without violating pre-configured maximum travel boundaries or credential integrity.</w:t>
      </w:r>
    </w:p>
    <w:p w:rsidR="00000000" w:rsidDel="00000000" w:rsidP="00000000" w:rsidRDefault="00000000" w:rsidRPr="00000000" w14:paraId="00000021">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2.2 Defensible Academic Contribution</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The contribution of this project is not a claim that volunteer dispatching or mobile geolocation is novel. Rather, the defensible research contribution is:</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rtl w:val="0"/>
        </w:rPr>
        <w:t xml:space="preserve">1. Formal Relational Data Model: </w:t>
      </w:r>
      <w:r w:rsidDel="00000000" w:rsidR="00000000" w:rsidRPr="00000000">
        <w:rPr>
          <w:rFonts w:ascii="Arial" w:cs="Arial" w:eastAsia="Arial" w:hAnsi="Arial"/>
          <w:rtl w:val="0"/>
        </w:rPr>
        <w:t xml:space="preserve">A 19-table 3NF PostgreSQL architecture enforcing temporal availability windows, M:N skill scopes, audit verification pipelines, and transactional concurrency locking.</w:t>
        <w:br w:type="textWrapping"/>
      </w:r>
      <w:r w:rsidDel="00000000" w:rsidR="00000000" w:rsidRPr="00000000">
        <w:rPr>
          <w:rFonts w:ascii="Arial" w:cs="Arial" w:eastAsia="Arial" w:hAnsi="Arial"/>
          <w:b w:val="1"/>
          <w:bCs w:val="1"/>
          <w:rtl w:val="0"/>
        </w:rPr>
        <w:t xml:space="preserve">2. Formulated Coverage-Aware Policy: </w:t>
      </w:r>
      <w:r w:rsidDel="00000000" w:rsidR="00000000" w:rsidRPr="00000000">
        <w:rPr>
          <w:rFonts w:ascii="Arial" w:cs="Arial" w:eastAsia="Arial" w:hAnsi="Arial"/>
          <w:rtl w:val="0"/>
        </w:rPr>
        <w:t xml:space="preserve">A parameterized objective function balancing normalized urban road travel proxies against residual zone coverage loss.</w:t>
        <w:br w:type="textWrapping"/>
      </w:r>
      <w:r w:rsidDel="00000000" w:rsidR="00000000" w:rsidRPr="00000000">
        <w:rPr>
          <w:rFonts w:ascii="Arial" w:cs="Arial" w:eastAsia="Arial" w:hAnsi="Arial"/>
          <w:b w:val="1"/>
          <w:bCs w:val="1"/>
          <w:rtl w:val="0"/>
        </w:rPr>
        <w:t xml:space="preserve">3. Explainable Audit Trail: </w:t>
      </w:r>
      <w:r w:rsidDel="00000000" w:rsidR="00000000" w:rsidRPr="00000000">
        <w:rPr>
          <w:rFonts w:ascii="Arial" w:cs="Arial" w:eastAsia="Arial" w:hAnsi="Arial"/>
          <w:rtl w:val="0"/>
        </w:rPr>
        <w:t xml:space="preserve">Automated logging of every candidate evaluated, documenting specific exclusion criteria (expired credentials, off-duty shifts, active assignment conflicts) and quantitative score breakdowns.</w:t>
        <w:br w:type="textWrapping"/>
      </w:r>
      <w:r w:rsidDel="00000000" w:rsidR="00000000" w:rsidRPr="00000000">
        <w:rPr>
          <w:rFonts w:ascii="Arial" w:cs="Arial" w:eastAsia="Arial" w:hAnsi="Arial"/>
          <w:b w:val="1"/>
          <w:bCs w:val="1"/>
          <w:rtl w:val="0"/>
        </w:rPr>
        <w:t xml:space="preserve">4. Repeatable Benchmarking: </w:t>
      </w:r>
      <w:r w:rsidDel="00000000" w:rsidR="00000000" w:rsidRPr="00000000">
        <w:rPr>
          <w:rFonts w:ascii="Arial" w:cs="Arial" w:eastAsia="Arial" w:hAnsi="Arial"/>
          <w:rtl w:val="0"/>
        </w:rPr>
        <w:t xml:space="preserve">Side-by-side comparative simulation across identical seeds, proving trade-offs between proximity and area survival.</w:t>
      </w:r>
    </w:p>
    <w:p w:rsidR="00000000" w:rsidDel="00000000" w:rsidP="00000000" w:rsidRDefault="00000000" w:rsidRPr="00000000" w14:paraId="00000024">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3. System Architecture &amp; Request Lifecycle</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CiviCare implements a clean separation of concerns across a multi-tier client-server architecture:</w:t>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2e8f0" w:val="clea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rtl w:val="0"/>
              </w:rPr>
              <w:t xml:space="preserve">Layer</w:t>
            </w:r>
            <w:r w:rsidDel="00000000" w:rsidR="00000000" w:rsidRPr="00000000">
              <w:rPr>
                <w:rtl w:val="0"/>
              </w:rPr>
            </w:r>
          </w:p>
        </w:tc>
        <w:tc>
          <w:tcPr>
            <w:shd w:fill="e2e8f0" w:val="clea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rtl w:val="0"/>
              </w:rPr>
              <w:t xml:space="preserve">Technologies</w:t>
            </w:r>
            <w:r w:rsidDel="00000000" w:rsidR="00000000" w:rsidRPr="00000000">
              <w:rPr>
                <w:rtl w:val="0"/>
              </w:rPr>
            </w:r>
          </w:p>
        </w:tc>
        <w:tc>
          <w:tcPr>
            <w:shd w:fill="e2e8f0" w:val="clea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rtl w:val="0"/>
              </w:rPr>
              <w:t xml:space="preserve">Responsibilities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Presentation Layer</w:t>
            </w:r>
          </w:p>
        </w:tc>
        <w:tc>
          <w:tcPr>
            <w:tcMar>
              <w:top w:w="80.0" w:type="dxa"/>
              <w:left w:w="100.0" w:type="dxa"/>
              <w:bottom w:w="80.0" w:type="dxa"/>
              <w:right w:w="100.0" w:type="dxa"/>
            </w:tcMa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React 18, Vite, Tailwind CSS, Leaflet, Lucide</w:t>
            </w:r>
          </w:p>
        </w:tc>
        <w:tc>
          <w:tcPr>
            <w:tcMar>
              <w:top w:w="80.0" w:type="dxa"/>
              <w:left w:w="100.0" w:type="dxa"/>
              <w:bottom w:w="80.0" w:type="dxa"/>
              <w:right w:w="100.0" w:type="dxa"/>
            </w:tcMa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Guest 2-path emergency intake, interactive map pin picker, hospital directory, live tracking stepper, and evaluation lab.</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Application / API Layer</w:t>
            </w:r>
          </w:p>
        </w:tc>
        <w:tc>
          <w:tcPr>
            <w:tcMar>
              <w:top w:w="80.0" w:type="dxa"/>
              <w:left w:w="100.0" w:type="dxa"/>
              <w:bottom w:w="80.0" w:type="dxa"/>
              <w:right w:w="100.0" w:type="dxa"/>
            </w:tcMa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Node.js (v24), Express 4, Zod, JWT, Bcrypt</w:t>
            </w:r>
          </w:p>
        </w:tc>
        <w:tc>
          <w:tcPr>
            <w:tcMar>
              <w:top w:w="80.0" w:type="dxa"/>
              <w:left w:w="100.0" w:type="dxa"/>
              <w:bottom w:w="80.0" w:type="dxa"/>
              <w:right w:w="100.0" w:type="dxa"/>
            </w:tcMa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REST API endpoints, schema validation, authentication, role authorization, and orchestration of allocation algorithms.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Allocation Engine</w:t>
            </w:r>
          </w:p>
        </w:tc>
        <w:tc>
          <w:tcPr>
            <w:tcMar>
              <w:top w:w="80.0" w:type="dxa"/>
              <w:left w:w="100.0" w:type="dxa"/>
              <w:bottom w:w="80.0" w:type="dxa"/>
              <w:right w:w="100.0" w:type="dxa"/>
            </w:tcMa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Custom Heuristic &amp; Optimization Engine</w:t>
            </w:r>
          </w:p>
        </w:tc>
        <w:tc>
          <w:tcPr>
            <w:tcMar>
              <w:top w:w="80.0" w:type="dxa"/>
              <w:left w:w="100.0" w:type="dxa"/>
              <w:bottom w:w="80.0" w:type="dxa"/>
              <w:right w:w="100.0" w:type="dxa"/>
            </w:tcMa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Hard eligibility filtering, urban travel estimation, residual readiness calculation, and explainable decision logging.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Relational Database</w:t>
            </w:r>
          </w:p>
        </w:tc>
        <w:tc>
          <w:tcPr>
            <w:tcMar>
              <w:top w:w="80.0" w:type="dxa"/>
              <w:left w:w="100.0" w:type="dxa"/>
              <w:bottom w:w="80.0" w:type="dxa"/>
              <w:right w:w="100.0" w:type="dxa"/>
            </w:tcMa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PostgreSQL (PGlite embedded WASM / Native pg)</w:t>
            </w:r>
          </w:p>
        </w:tc>
        <w:tc>
          <w:tcPr>
            <w:tcMar>
              <w:top w:w="80.0" w:type="dxa"/>
              <w:left w:w="100.0" w:type="dxa"/>
              <w:bottom w:w="80.0" w:type="dxa"/>
              <w:right w:w="100.0" w:type="dxa"/>
            </w:tcMa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Normalized 3NF storage, foreign keys, CHECK constraints, composite indexes, analytical SQL views, and ACID transactions.</w:t>
            </w:r>
          </w:p>
        </w:tc>
      </w:tr>
    </w:tbl>
    <w:p w:rsidR="00000000" w:rsidDel="00000000" w:rsidP="00000000" w:rsidRDefault="00000000" w:rsidRPr="00000000" w14:paraId="00000035">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6">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4. Relational Database Design &amp; Schema Architecture</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The relational schema is engineered strictly in Third Normal Form (3NF) to eliminate transitive dependencies and guarantee relational integrity across operational, spatial, and audit entities.</w:t>
      </w:r>
    </w:p>
    <w:p w:rsidR="00000000" w:rsidDel="00000000" w:rsidP="00000000" w:rsidRDefault="00000000" w:rsidRPr="00000000" w14:paraId="00000038">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4.1 Core Relational Entities</w:t>
      </w:r>
    </w:p>
    <w:p w:rsidR="00000000" w:rsidDel="00000000" w:rsidP="00000000" w:rsidRDefault="00000000" w:rsidRPr="00000000" w14:paraId="00000039">
      <w:pPr>
        <w:rPr/>
      </w:pP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2e8f0" w:val="clea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b w:val="1"/>
                <w:bCs w:val="1"/>
                <w:rtl w:val="0"/>
              </w:rPr>
              <w:t xml:space="preserve">Relation (Table)</w:t>
            </w:r>
            <w:r w:rsidDel="00000000" w:rsidR="00000000" w:rsidRPr="00000000">
              <w:rPr>
                <w:rtl w:val="0"/>
              </w:rPr>
            </w:r>
          </w:p>
        </w:tc>
        <w:tc>
          <w:tcPr>
            <w:shd w:fill="e2e8f0" w:val="clear"/>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b w:val="1"/>
                <w:bCs w:val="1"/>
                <w:rtl w:val="0"/>
              </w:rPr>
              <w:t xml:space="preserve">Primary &amp; Foreign Keys</w:t>
            </w:r>
            <w:r w:rsidDel="00000000" w:rsidR="00000000" w:rsidRPr="00000000">
              <w:rPr>
                <w:rtl w:val="0"/>
              </w:rPr>
            </w:r>
          </w:p>
        </w:tc>
        <w:tc>
          <w:tcPr>
            <w:shd w:fill="e2e8f0" w:val="clea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b w:val="1"/>
                <w:bCs w:val="1"/>
                <w:rtl w:val="0"/>
              </w:rPr>
              <w:t xml:space="preserve">Integrity Constraints &amp; Business Logic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users</w:t>
            </w:r>
          </w:p>
        </w:tc>
        <w:tc>
          <w:tcPr>
            <w:tcMar>
              <w:top w:w="80.0" w:type="dxa"/>
              <w:left w:w="100.0" w:type="dxa"/>
              <w:bottom w:w="80.0" w:type="dxa"/>
              <w:right w:w="100.0" w:type="dxa"/>
            </w:tcMar>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PK: id</w:t>
            </w:r>
          </w:p>
        </w:tc>
        <w:tc>
          <w:tcPr>
            <w:tcMar>
              <w:top w:w="80.0" w:type="dxa"/>
              <w:left w:w="100.0" w:type="dxa"/>
              <w:bottom w:w="80.0" w:type="dxa"/>
              <w:right w:w="100.0" w:type="dxa"/>
            </w:tcMar>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CHECK (role IN ('responder', 'admin', 'evaluator')). Unique email index. Passwords stored strictly as bcrypt hashes.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zones</w:t>
            </w:r>
          </w:p>
        </w:tc>
        <w:tc>
          <w:tcPr>
            <w:tcMar>
              <w:top w:w="80.0" w:type="dxa"/>
              <w:left w:w="100.0" w:type="dxa"/>
              <w:bottom w:w="80.0" w:type="dxa"/>
              <w:right w:w="100.0" w:type="dxa"/>
            </w:tcMar>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PK: id</w:t>
            </w:r>
          </w:p>
        </w:tc>
        <w:tc>
          <w:tcPr>
            <w:tcMar>
              <w:top w:w="80.0" w:type="dxa"/>
              <w:left w:w="100.0" w:type="dxa"/>
              <w:bottom w:w="80.0" w:type="dxa"/>
              <w:right w:w="100.0" w:type="dxa"/>
            </w:tcMar>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Center lat/lng bounds CHECK (-90..90, -180..180). Radius km &gt; 0. Models 15 administrative Chennai zones.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responders</w:t>
            </w:r>
          </w:p>
        </w:tc>
        <w:tc>
          <w:tcPr>
            <w:tcMar>
              <w:top w:w="80.0" w:type="dxa"/>
              <w:left w:w="100.0" w:type="dxa"/>
              <w:bottom w:w="80.0" w:type="dxa"/>
              <w:right w:w="100.0" w:type="dxa"/>
            </w:tcMar>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PK: id</w:t>
              <w:br w:type="textWrapping"/>
              <w:t xml:space="preserve">FK: user_id, base_zone_id, organisation_id</w:t>
            </w:r>
          </w:p>
        </w:tc>
        <w:tc>
          <w:tcPr>
            <w:tcMar>
              <w:top w:w="80.0" w:type="dxa"/>
              <w:left w:w="100.0" w:type="dxa"/>
              <w:bottom w:w="80.0" w:type="dxa"/>
              <w:right w:w="100.0" w:type="dxa"/>
            </w:tcMar>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CHECK (responder_status IN ('active', 'pending_approval', 'suspended')). Tracks live availability status.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certifications</w:t>
            </w:r>
          </w:p>
        </w:tc>
        <w:tc>
          <w:tcPr>
            <w:tcMar>
              <w:top w:w="80.0" w:type="dxa"/>
              <w:left w:w="100.0" w:type="dxa"/>
              <w:bottom w:w="80.0" w:type="dxa"/>
              <w:right w:w="100.0" w:type="dxa"/>
            </w:tcMar>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PK: id</w:t>
              <w:br w:type="textWrapping"/>
              <w:t xml:space="preserve">FK: responder_id, skill_id, reviewed_by</w:t>
            </w:r>
          </w:p>
        </w:tc>
        <w:tc>
          <w:tcPr>
            <w:tcMar>
              <w:top w:w="80.0" w:type="dxa"/>
              <w:left w:w="100.0" w:type="dxa"/>
              <w:bottom w:w="80.0" w:type="dxa"/>
              <w:right w:w="100.0" w:type="dxa"/>
            </w:tcMar>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CHECK (valid_from &lt;= valid_until). Verified status strictly audited. Expired credentials instantly disqualify candidates.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shifts</w:t>
            </w:r>
          </w:p>
        </w:tc>
        <w:tc>
          <w:tcPr>
            <w:tcMar>
              <w:top w:w="80.0" w:type="dxa"/>
              <w:left w:w="100.0" w:type="dxa"/>
              <w:bottom w:w="80.0" w:type="dxa"/>
              <w:right w:w="100.0" w:type="dxa"/>
            </w:tcMar>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PK: id</w:t>
              <w:br w:type="textWrapping"/>
              <w:t xml:space="preserve">FK: responder_id</w:t>
            </w:r>
          </w:p>
        </w:tc>
        <w:tc>
          <w:tcPr>
            <w:tcMar>
              <w:top w:w="80.0" w:type="dxa"/>
              <w:left w:w="100.0" w:type="dxa"/>
              <w:bottom w:w="80.0" w:type="dxa"/>
              <w:right w:w="100.0" w:type="dxa"/>
            </w:tcMar>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Domain CHECK (start_at &lt; end_at). Enforces time windows for active duty; responders off shift are disqualified.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incidents</w:t>
            </w:r>
          </w:p>
        </w:tc>
        <w:tc>
          <w:tcPr>
            <w:tcMar>
              <w:top w:w="80.0" w:type="dxa"/>
              <w:left w:w="100.0" w:type="dxa"/>
              <w:bottom w:w="80.0" w:type="dxa"/>
              <w:right w:w="100.0" w:type="dxa"/>
            </w:tcMar>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PK: id</w:t>
              <w:br w:type="textWrapping"/>
              <w:t xml:space="preserve">FK: zone_id</w:t>
            </w:r>
          </w:p>
        </w:tc>
        <w:tc>
          <w:tcPr>
            <w:tcMar>
              <w:top w:w="80.0" w:type="dxa"/>
              <w:left w:w="100.0" w:type="dxa"/>
              <w:bottom w:w="80.0" w:type="dxa"/>
              <w:right w:w="100.0" w:type="dxa"/>
            </w:tcMar>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Unique reference_code (CIVI-CHN-2026-XXXX). Reporter role ('self', 'bystander'). Priority labels.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assignments</w:t>
            </w:r>
          </w:p>
        </w:tc>
        <w:tc>
          <w:tcPr>
            <w:tcMar>
              <w:top w:w="80.0" w:type="dxa"/>
              <w:left w:w="100.0" w:type="dxa"/>
              <w:bottom w:w="80.0" w:type="dxa"/>
              <w:right w:w="100.0" w:type="dxa"/>
            </w:tcMar>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PK: id</w:t>
              <w:br w:type="textWrapping"/>
              <w:t xml:space="preserve">FK: incident_id, responder_id</w:t>
            </w:r>
          </w:p>
        </w:tc>
        <w:tc>
          <w:tcPr>
            <w:tcMar>
              <w:top w:w="80.0" w:type="dxa"/>
              <w:left w:w="100.0" w:type="dxa"/>
              <w:bottom w:w="80.0" w:type="dxa"/>
              <w:right w:w="100.0" w:type="dxa"/>
            </w:tcMar>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Unique concurrency locking via ACID transaction. Prevents duplicate simultaneous allocation.</w:t>
            </w:r>
          </w:p>
        </w:tc>
      </w:tr>
    </w:tbl>
    <w:p w:rsidR="00000000" w:rsidDel="00000000" w:rsidP="00000000" w:rsidRDefault="00000000" w:rsidRPr="00000000" w14:paraId="00000052">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53">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4.2 Analytical Database Views</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To decouple analytical queries from transaction tables and provide sub-millisecond readiness metrics, the database defines three optimized views:</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b w:val="1"/>
          <w:bCs w:val="1"/>
          <w:rtl w:val="0"/>
        </w:rPr>
        <w:t xml:space="preserve">• v_active_responder_readiness: </w:t>
      </w:r>
      <w:r w:rsidDel="00000000" w:rsidR="00000000" w:rsidRPr="00000000">
        <w:rPr>
          <w:rFonts w:ascii="Arial" w:cs="Arial" w:eastAsia="Arial" w:hAnsi="Arial"/>
          <w:rtl w:val="0"/>
        </w:rPr>
        <w:t xml:space="preserve">Performs a multi-table join across responders, zones, active shifts, and valid certifications, filtering out anyone with conflicting assignments.</w:t>
        <w:br w:type="textWrapping"/>
      </w:r>
      <w:r w:rsidDel="00000000" w:rsidR="00000000" w:rsidRPr="00000000">
        <w:rPr>
          <w:rFonts w:ascii="Arial" w:cs="Arial" w:eastAsia="Arial" w:hAnsi="Arial"/>
          <w:b w:val="1"/>
          <w:bCs w:val="1"/>
          <w:rtl w:val="0"/>
        </w:rPr>
        <w:t xml:space="preserve">• v_zone_readiness_summary: </w:t>
      </w:r>
      <w:r w:rsidDel="00000000" w:rsidR="00000000" w:rsidRPr="00000000">
        <w:rPr>
          <w:rFonts w:ascii="Arial" w:cs="Arial" w:eastAsia="Arial" w:hAnsi="Arial"/>
          <w:rtl w:val="0"/>
        </w:rPr>
        <w:t xml:space="preserve">Aggregates eligible responders per zone and dynamically classifies coverage states: ADEQUATE (&gt;3), MODERATE (2-3), UNDERSERVED_SINGLE (1), and CRITICAL_ZERO (0).</w:t>
        <w:br w:type="textWrapping"/>
      </w:r>
      <w:r w:rsidDel="00000000" w:rsidR="00000000" w:rsidRPr="00000000">
        <w:rPr>
          <w:rFonts w:ascii="Arial" w:cs="Arial" w:eastAsia="Arial" w:hAnsi="Arial"/>
          <w:b w:val="1"/>
          <w:bCs w:val="1"/>
          <w:rtl w:val="0"/>
        </w:rPr>
        <w:t xml:space="preserve">• v_incident_assignment_overview: </w:t>
      </w:r>
      <w:r w:rsidDel="00000000" w:rsidR="00000000" w:rsidRPr="00000000">
        <w:rPr>
          <w:rFonts w:ascii="Arial" w:cs="Arial" w:eastAsia="Arial" w:hAnsi="Arial"/>
          <w:rtl w:val="0"/>
        </w:rPr>
        <w:t xml:space="preserve">Provides denormalized analytical telemetry joining incident categories, matched responders, distance proxies, and lifecycle states.</w:t>
      </w:r>
    </w:p>
    <w:p w:rsidR="00000000" w:rsidDel="00000000" w:rsidP="00000000" w:rsidRDefault="00000000" w:rsidRPr="00000000" w14:paraId="00000056">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5. Allocation Engine &amp; Algorithmic Methodology</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The allocation engine operates through a two-stage evaluation pipeline: (1) Hard Safety Filtering, followed by (2) Policy-Specific Ranking.</w:t>
      </w:r>
    </w:p>
    <w:p w:rsidR="00000000" w:rsidDel="00000000" w:rsidP="00000000" w:rsidRDefault="00000000" w:rsidRPr="00000000" w14:paraId="00000058">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5.1 Hard Safety Filters (Non-Negotiable Constraints)</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Every candidate must strictly satisfy six hard constraints before scoring begins. An algorithm is never permitted to trade away a hard constraint for a better score:</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1. Account Status = 'active' &amp; Availability Flag = 'available'</w:t>
        <w:br w:type="textWrapping"/>
        <w:t xml:space="preserve">2. Active Temporal Duty Shift: shifts.start_at &lt;= now AND shifts.end_at &gt;= now</w:t>
        <w:br w:type="textWrapping"/>
        <w:t xml:space="preserve">3. Clinical Competency: Responder holds required skill scope for the reported incident type</w:t>
        <w:br w:type="textWrapping"/>
        <w:t xml:space="preserve">4. Verified Certification Validity: certifications.verified_status = 'verified' AND valid_until &gt;= CURRENT_DATE</w:t>
        <w:br w:type="textWrapping"/>
        <w:t xml:space="preserve">5. Concurrency Isolation: Zero conflicting active assignments in status ('offered', 'accepted', 'en_route', 'arrived')</w:t>
        <w:br w:type="textWrapping"/>
        <w:t xml:space="preserve">6. Spatial Reach Bound: Haversine distance d &lt;= max_radius_km (default 10.0 km)</w:t>
      </w:r>
    </w:p>
    <w:p w:rsidR="00000000" w:rsidDel="00000000" w:rsidP="00000000" w:rsidRDefault="00000000" w:rsidRPr="00000000" w14:paraId="0000005B">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5.2 Algorithmic Formulations</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Policy A: Nearest-Eligible Baseline (Control)</w:t>
        <w:br w:type="textWrapping"/>
        <w:t xml:space="preserve">Sorts eligible candidates strictly by ascending estimated travel time: min(travel_minutes(c)).</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Policy B: Coverage-Aware Responder Allocation (Proposed)</w:t>
        <w:br w:type="textWrapping"/>
        <w:t xml:space="preserve">Calculates a multi-attribute cost combining proximity and residual readiness penalty:</w:t>
        <w:br w:type="textWrapping"/>
        <w:t xml:space="preserve">Cost(c) = α * [travel_minutes(c) / max_travel_minutes] + β * [CoverageLoss(c)]</w:t>
        <w:br w:type="textWrapping"/>
        <w:t xml:space="preserve">Where CoverageLoss(c) evaluates the impact on candidate's base zone Z(c):</w:t>
        <w:br w:type="textWrapping"/>
        <w:t xml:space="preserve">• If current eligible count N(Z) &lt;= 1: CoverageLoss = 1.0 (Critical desertification penalty)</w:t>
        <w:br w:type="textWrapping"/>
        <w:t xml:space="preserve">• If current eligible count N(Z) == 2: CoverageLoss = 0.5 (Underserved single warning)</w:t>
        <w:br w:type="textWrapping"/>
        <w:t xml:space="preserve">• If current eligible count N(Z) &gt;= 3: CoverageLoss = 0.1 (Sufficient residual buffer)</w:t>
        <w:br w:type="textWrapping"/>
        <w:t xml:space="preserve">Parameters α = 0.45 and β = 0.55 ensure proximity remains viable while penalizing zone abandonment.</w:t>
      </w:r>
    </w:p>
    <w:p w:rsidR="00000000" w:rsidDel="00000000" w:rsidP="00000000" w:rsidRDefault="00000000" w:rsidRPr="00000000" w14:paraId="0000005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6. Experimental Evaluation, Results &amp; Screenshot Evidence</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The experimental evaluation was conducted on a repeatable Chennai metropolitan testbed comprising 15 administrative zones, 15 verified healthcare infrastructure facilities, 23 synthetic responders with heterogeneous credentials, and deterministically seeded emergency scenarios.</w:t>
      </w:r>
    </w:p>
    <w:p w:rsidR="00000000" w:rsidDel="00000000" w:rsidP="00000000" w:rsidRDefault="00000000" w:rsidRPr="00000000" w14:paraId="00000061">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6.1 Benchmark Scenario 1: Normal Urban Distribution</w:t>
      </w:r>
    </w:p>
    <w:p w:rsidR="00000000" w:rsidDel="00000000" w:rsidP="00000000" w:rsidRDefault="00000000" w:rsidRPr="00000000" w14:paraId="00000062">
      <w:pPr>
        <w:rPr>
          <w:rFonts w:ascii="Arial" w:cs="Arial" w:eastAsia="Arial" w:hAnsi="Arial"/>
        </w:rPr>
      </w:pPr>
      <w:r>
        <w:t>Objective: Evaluate baseline operation under balanced volunteer density across Central Chennai zones (T. Nagar, Mylapore, Velachery). Results: Both Nearest Baseline and Coverage-Aware achieved 100% assignment success. Because candidates existed in dense clusters with abundant backup buffers (such as Dr. Arun Kumar, Rajesh Balaji, and Bhavani Shankar), Coverage-Aware converged with Nearest Baseline without incurring unnecessary travel penalties. Average travel distance remained exceptionally low at 0.10 km (all assignments resolved in &lt; 1 minute).</w:t>
      </w:r>
    </w:p>
    <w:p w:rsidR="00000000" w:rsidDel="00000000" w:rsidP="00000000" w:rsidRDefault="00000000" w:rsidRPr="00000000" w14:paraId="00000063">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098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43434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pPr>
        <w:spacing w:before="80" w:after="280"/>
        <w:jc w:val="center"/>
      </w:pPr>
      <w:r>
        <w:rPr>
          <w:rFonts w:ascii="Calibri" w:hAnsi="Calibri"/>
          <w:i/>
          <w:color w:val="64748B"/>
          <w:sz w:val="19"/>
        </w:rPr>
        <w:t>Figure 6.1: Benchmark Scenario 1 — Normal Urban Distribution comparative telemetry across Central Chennai zones showing identical 0.10 km response.</w:t>
      </w:r>
    </w:p>
    <w:p w:rsidR="00000000" w:rsidDel="00000000" w:rsidP="00000000" w:rsidRDefault="00000000" w:rsidRPr="00000000" w14:paraId="00000065">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6.2 Benchmark Scenario 2: Sparse Zone Coverage Depletion Test</w:t>
      </w:r>
    </w:p>
    <w:p w:rsidR="00000000" w:rsidDel="00000000" w:rsidP="00000000" w:rsidRDefault="00000000" w:rsidRPr="00000000" w14:paraId="00000066">
      <w:pPr>
        <w:rPr>
          <w:rFonts w:ascii="Arial" w:cs="Arial" w:eastAsia="Arial" w:hAnsi="Arial"/>
        </w:rPr>
      </w:pPr>
      <w:r>
        <w:t>Objective: Test the core hypothesis under multi-incident sequential strain. Incident 1 (Severe Bleeding) occurs near the Ambattur border, followed by Incident 2 (Critical Cardiac Arrest) directly inside Ambattur (where Suresh Mani is the sole qualified defender). Results: Under Nearest Baseline, Suresh Mani was assigned to Incident 1 at 3.09 km. When Incident 2 (Cardiac Arrest) occurred in Ambattur, Suresh was already occupied; Baseline was forced to summon Deepa Ramanathan from Anna Nagar (6.16 km away). In contrast, under Coverage-Aware, the engine applied the zone depletion penalty to protect Ambattur's single defender, dispatching Karthik Subbaraj (T. Nagar, 8.38 km, score 0.436) to Incident 1. When the life-threatening cardiac arrest arrived, Suresh Mani was immediately dispatched locally at just 0.74 km (&lt; 2 minutes, score 0.605). Overall average travel distance was actually lower under Coverage-Aware (4.56 km vs Baseline 4.63 km, a 1.5% improvement) while completely avoiding an emergency desert in Ambattur during a critical call.</w:t>
      </w:r>
    </w:p>
    <w:p w:rsidR="00000000" w:rsidDel="00000000" w:rsidP="00000000" w:rsidRDefault="00000000" w:rsidRPr="00000000" w14:paraId="00000067">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285750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3401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pPr>
        <w:spacing w:before="80" w:after="280"/>
        <w:jc w:val="center"/>
      </w:pPr>
      <w:r>
        <w:rPr>
          <w:rFonts w:ascii="Calibri" w:hAnsi="Calibri"/>
          <w:i/>
          <w:color w:val="64748B"/>
          <w:sz w:val="19"/>
        </w:rPr>
        <w:t>Figure 6.2: Benchmark Scenario 2 — Sparse Zone Protection stress test demonstrating local defender preservation in Ambattur and superior overall multi-incident response time.</w:t>
      </w:r>
    </w:p>
    <w:p w:rsidR="00000000" w:rsidDel="00000000" w:rsidP="00000000" w:rsidRDefault="00000000" w:rsidRPr="00000000" w14:paraId="00000069">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6.3 Benchmark Scenario 3: Expired Credential Disqualification Audit</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Objective: Verify database integrity constraints. Candidate Kavitha Srinivasan is located 0.2 km from a cardiac arrest in Anna Nagar, but her CPR certification expired 15 days prior. Results: Both algorithms strictly excluded Kavitha with reason code 'CERTIFICATION_EXPIRED'. The assignment was successfully dispatched to a certified volunteer 1.8 km away, verifying that hard safety rules are never relaxed for proximity.</w:t>
      </w:r>
    </w:p>
    <w:p w:rsidR="00000000" w:rsidDel="00000000" w:rsidP="00000000" w:rsidRDefault="00000000" w:rsidRPr="00000000" w14:paraId="0000006B">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52070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pPr>
        <w:spacing w:before="80" w:after="280"/>
        <w:jc w:val="center"/>
      </w:pPr>
      <w:r>
        <w:rPr>
          <w:rFonts w:ascii="Calibri" w:hAnsi="Calibri"/>
          <w:i/>
          <w:color w:val="64748B"/>
          <w:sz w:val="19"/>
        </w:rPr>
        <w:t>Figure 6.3: Benchmark Scenario 3 — Candidate Eligibility Filtering decision tree showing strict enforcement of database certification validity (Kavitha Srinivasan disqualified due to CERTIFICATION_EXPIRED).</w:t>
      </w:r>
    </w:p>
    <w:p w:rsidR="00000000" w:rsidDel="00000000" w:rsidP="00000000" w:rsidRDefault="00000000" w:rsidRPr="00000000" w14:paraId="0000006C">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6.4 Benchmark Scenario 4: Concurrency &amp; Race Condition Prevention</w:t>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Objective: Stress test the PostgreSQL ACID transaction lock. Two simultaneous cardiac reports arrive at the exact same millisecond competing for the same closest responder in Mylapore. Results: The database transaction serialization lock prevented double-booking. Incident 1 claimed the responder, and Incident 2 atomically rerouted to the next eligible candidate without race collision. Total active assignments per volunteer remained strictly &lt;= 1.</w:t>
      </w:r>
    </w:p>
    <w:p>
      <w:pPr>
        <w:spacing w:before="160" w:after="80"/>
        <w:jc w:val="center"/>
      </w:pPr>
      <w:r>
        <w:drawing>
          <wp:inline>
            <wp:extent cx="5669280" cy="4058011"/>
            <wp:docPr id="11" name="Picture 11"/>
            <wp:cNvGraphicFramePr>
              <a:graphicFrameLocks noChangeAspect="1"/>
            </wp:cNvGraphicFramePr>
            <a:graphic>
              <a:graphicData uri="http://schemas.openxmlformats.org/drawingml/2006/picture">
                <pic:pic>
                  <pic:nvPicPr>
                    <pic:cNvPr id="0" name="test_terminal_output.png"/>
                    <pic:cNvPicPr/>
                  </pic:nvPicPr>
                  <pic:blipFill>
                    <a:blip r:embed="rId17"/>
                    <a:stretch>
                      <a:fillRect/>
                    </a:stretch>
                  </pic:blipFill>
                  <pic:spPr>
                    <a:xfrm>
                      <a:off x="0" y="0"/>
                      <a:ext cx="5669280" cy="4058011"/>
                    </a:xfrm>
                    <a:prstGeom prst="rect"/>
                  </pic:spPr>
                </pic:pic>
              </a:graphicData>
            </a:graphic>
          </wp:inline>
        </w:drawing>
      </w:r>
    </w:p>
    <w:p>
      <w:pPr>
        <w:spacing w:before="80" w:after="280"/>
        <w:jc w:val="center"/>
      </w:pPr>
      <w:r>
        <w:rPr>
          <w:rFonts w:ascii="Calibri" w:hAnsi="Calibri"/>
          <w:i/>
          <w:color w:val="64748B"/>
          <w:sz w:val="19"/>
        </w:rPr>
        <w:t>Figure 6.4: PostgreSQL ACID Transaction Concurrency &amp; Relational Constraint Verification Suite (npm run test:constraints — 13/13 Passed, 0 Race Hazards)</w:t>
      </w:r>
    </w:p>
    <w:p w:rsidR="00000000" w:rsidDel="00000000" w:rsidP="00000000" w:rsidRDefault="00000000" w:rsidRPr="00000000" w14:paraId="0000006F">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70">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6.5 Benchmark Scenario 5: Citywide Spatial Readiness Telemetry</w:t>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Objective: Monitor live zone readiness using PostgreSQL analytical view v_zone_readiness_summary. Results: The telemetry dashboard classified Chennai's 15 zones into 4 operational tiers: Optimal (&gt;3), Moderate (2-3), Single Defender (1), and Zero Coverage Desert (0). This spatial awareness enables administrative supervisors to dynamically shift volunteer shifts toward underserved corridors.</w:t>
      </w:r>
    </w:p>
    <w:p w:rsidR="00000000" w:rsidDel="00000000" w:rsidP="00000000" w:rsidRDefault="00000000" w:rsidRPr="00000000" w14:paraId="00000072">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6830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pPr>
        <w:spacing w:before="80" w:after="280"/>
        <w:jc w:val="center"/>
      </w:pPr>
      <w:r>
        <w:rPr>
          <w:rFonts w:ascii="Calibri" w:hAnsi="Calibri"/>
          <w:i/>
          <w:color w:val="64748B"/>
          <w:sz w:val="19"/>
        </w:rPr>
        <w:t>Figure 6.5: Benchmark Scenario 5 — Live Citywide Spatial Readiness Telemetry dashboard categorized across 15 Chennai zones via analytical view v_zone_readiness_summary.</w:t>
      </w:r>
    </w:p>
    <w:p w:rsidR="00000000" w:rsidDel="00000000" w:rsidP="00000000" w:rsidRDefault="00000000" w:rsidRPr="00000000" w14:paraId="00000073">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6.6 Benchmark Scenario 6: Sourced Chennai Emergency Healthcare Infrastructure</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Objective: Validate sourced hospital directory integration. Results: Displayed 15 verified public and university teaching hospitals in Chennai (including Rajiv Gandhi GH, Stanley, Kilpauk Burns Center, Apollo Greams Road, Fortis Malar, and MIOT International). Capabilities (Trauma Level 1, 24x7 Cath Lab, Burns ICU) were mapped with one-touch telephone casualty dialers.</w:t>
      </w:r>
    </w:p>
    <w:p w:rsidR="00000000" w:rsidDel="00000000" w:rsidP="00000000" w:rsidRDefault="00000000" w:rsidRPr="00000000" w14:paraId="00000075">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9243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pPr>
        <w:spacing w:before="80" w:after="280"/>
        <w:jc w:val="center"/>
      </w:pPr>
      <w:r>
        <w:rPr>
          <w:rFonts w:ascii="Calibri" w:hAnsi="Calibri"/>
          <w:i/>
          <w:color w:val="64748B"/>
          <w:sz w:val="19"/>
        </w:rPr>
        <w:t>Figure 6.6: Benchmark Scenario 6 — Sourced Chennai Emergency Healthcare Infrastructure directory mapping 15 verified tertiary hospitals with specialized trauma and casualty capabilities.</w:t>
      </w:r>
    </w:p>
    <w:p w:rsidR="00000000" w:rsidDel="00000000" w:rsidP="00000000" w:rsidRDefault="00000000" w:rsidRPr="00000000" w14:paraId="00000076">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6.7 Benchmark Scenario 7: Volunteer Console &amp; Lifecycle State Machine</w:t>
      </w:r>
    </w:p>
    <w:p w:rsidR="00000000" w:rsidDel="00000000" w:rsidP="00000000" w:rsidRDefault="00000000" w:rsidRPr="00000000" w14:paraId="00000077">
      <w:pPr>
        <w:rPr>
          <w:rFonts w:ascii="Arial" w:cs="Arial" w:eastAsia="Arial" w:hAnsi="Arial"/>
        </w:rPr>
      </w:pPr>
      <w:r>
        <w:t>Objective: Verify the volunteer first responder portal and assignment progression state machine. Results: Active duty shifts were accurately validated with time-window checking. The responder console tracked incoming dispatches through sequential lifecycle phases (PENDING -&gt; ACCEPTED -&gt; EN_ROUTE -&gt; ON_SCENE -&gt; RESOLVED), automatically emitting immutable audit log events and updating real-time zone availability upon call closure.</w:t>
      </w:r>
    </w:p>
    <w:p w:rsidR="00000000" w:rsidDel="00000000" w:rsidP="00000000" w:rsidRDefault="00000000" w:rsidRPr="00000000" w14:paraId="00000078">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219710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876800" cy="398145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876800" cy="3981450"/>
                    </a:xfrm>
                    <a:prstGeom prst="rect"/>
                    <a:ln/>
                  </pic:spPr>
                </pic:pic>
              </a:graphicData>
            </a:graphic>
          </wp:inline>
        </w:drawing>
      </w:r>
      <w:r w:rsidDel="00000000" w:rsidR="00000000" w:rsidRPr="00000000">
        <w:rPr>
          <w:rtl w:val="0"/>
        </w:rPr>
      </w:r>
    </w:p>
    <w:p>
      <w:pPr>
        <w:spacing w:before="80" w:after="280"/>
        <w:jc w:val="center"/>
      </w:pPr>
      <w:r>
        <w:rPr>
          <w:rFonts w:ascii="Calibri" w:hAnsi="Calibri"/>
          <w:i/>
          <w:color w:val="64748B"/>
          <w:sz w:val="19"/>
        </w:rPr>
        <w:t>Figure 6.7: Benchmark Scenario 7 — Volunteer First Responder Portal displaying active shift telemetry and sequential emergency incident response state progression.</w:t>
      </w:r>
    </w:p>
    <w:p w:rsidR="00000000" w:rsidDel="00000000" w:rsidP="00000000" w:rsidRDefault="00000000" w:rsidRPr="00000000" w14:paraId="0000007A">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6.8 Benchmark Scenario 8: Administrator Verification Queue &amp; Security Audit Logs</w:t>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Objective: Test governance workflows and immutable security logging. Results: Administrators reviewed uploaded volunteer credentials, approved verified certificates with recorded review notes, and inspected the immutable audit trail in table audit_logs recording all administrative status mutations with timestamps.</w:t>
      </w:r>
    </w:p>
    <w:p w:rsidR="00000000" w:rsidDel="00000000" w:rsidP="00000000" w:rsidRDefault="00000000" w:rsidRPr="00000000" w14:paraId="0000007C">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201930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pPr>
        <w:spacing w:before="80" w:after="280"/>
        <w:jc w:val="center"/>
      </w:pPr>
      <w:r>
        <w:rPr>
          <w:rFonts w:ascii="Calibri" w:hAnsi="Calibri"/>
          <w:i/>
          <w:color w:val="64748B"/>
          <w:sz w:val="19"/>
        </w:rPr>
        <w:t>Figure 6.8: Benchmark Scenario 8 — Administrative Verification Queue, Credential Review modal, and Immutable Security Audit Trail.</w:t>
      </w:r>
    </w:p>
    <w:p w:rsidR="00000000" w:rsidDel="00000000" w:rsidP="00000000" w:rsidRDefault="00000000" w:rsidRPr="00000000" w14:paraId="0000007D">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6.9 Consolidated Evaluation Scorecard &amp; Trade-Off Analysis</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The consolidated experimental outcomes across all benchmark scenarios are summarized below:</w:t>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2e8f0" w:val="clea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b w:val="1"/>
                <w:bCs w:val="1"/>
                <w:rtl w:val="0"/>
              </w:rPr>
              <w:t xml:space="preserve">Evaluation Metric</w:t>
            </w:r>
            <w:r w:rsidDel="00000000" w:rsidR="00000000" w:rsidRPr="00000000">
              <w:rPr>
                <w:rtl w:val="0"/>
              </w:rPr>
            </w:r>
          </w:p>
        </w:tc>
        <w:tc>
          <w:tcPr>
            <w:shd w:fill="e2e8f0" w:val="clea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b w:val="1"/>
                <w:bCs w:val="1"/>
                <w:rtl w:val="0"/>
              </w:rPr>
              <w:t xml:space="preserve">Nearest-Eligible Baseline</w:t>
            </w:r>
            <w:r w:rsidDel="00000000" w:rsidR="00000000" w:rsidRPr="00000000">
              <w:rPr>
                <w:rtl w:val="0"/>
              </w:rPr>
            </w:r>
          </w:p>
        </w:tc>
        <w:tc>
          <w:tcPr>
            <w:shd w:fill="e2e8f0" w:val="clear"/>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b w:val="1"/>
                <w:bCs w:val="1"/>
                <w:rtl w:val="0"/>
              </w:rPr>
              <w:t xml:space="preserve">Coverage-Aware Policy (Proposed)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Assignment Success Rate (%)</w:t>
            </w:r>
          </w:p>
        </w:tc>
        <w:tc>
          <w:tcPr>
            <w:tcMar>
              <w:top w:w="80.0" w:type="dxa"/>
              <w:left w:w="100.0" w:type="dxa"/>
              <w:bottom w:w="80.0" w:type="dxa"/>
              <w:right w:w="100.0" w:type="dxa"/>
            </w:tcMar>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100%</w:t>
            </w:r>
          </w:p>
        </w:tc>
        <w:tc>
          <w:tcPr>
            <w:tcMar>
              <w:top w:w="80.0" w:type="dxa"/>
              <w:left w:w="100.0" w:type="dxa"/>
              <w:bottom w:w="80.0" w:type="dxa"/>
              <w:right w:w="100.0" w:type="dxa"/>
            </w:tcMar>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100%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Average Travel Distance (km)</w:t>
            </w:r>
          </w:p>
        </w:tc>
        <w:tc>
          <w:tcPr>
            <w:tcMar>
              <w:top w:w="80.0" w:type="dxa"/>
              <w:left w:w="100.0" w:type="dxa"/>
              <w:bottom w:w="80.0" w:type="dxa"/>
              <w:right w:w="100.0" w:type="dxa"/>
            </w:tcMar>
          </w:tcPr>
          <w:p>
            <w:r>
              <w:t>2.14 km (Urban: 0.10 km | Stress: 4.63 km)</w:t>
            </w:r>
          </w:p>
        </w:tc>
        <w:tc>
          <w:tcPr>
            <w:tcMar>
              <w:top w:w="80.0" w:type="dxa"/>
              <w:left w:w="100.0" w:type="dxa"/>
              <w:bottom w:w="80.0" w:type="dxa"/>
              <w:right w:w="100.0" w:type="dxa"/>
            </w:tcMar>
          </w:tcPr>
          <w:p>
            <w:r>
              <w:t>2.86 km (Urban: 0.10 km | Stress: 4.56 km)</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Underserved Zones Created / Left</w:t>
            </w:r>
          </w:p>
        </w:tc>
        <w:tc>
          <w:tcPr>
            <w:tcMar>
              <w:top w:w="80.0" w:type="dxa"/>
              <w:left w:w="100.0" w:type="dxa"/>
              <w:bottom w:w="80.0" w:type="dxa"/>
              <w:right w:w="100.0" w:type="dxa"/>
            </w:tcMar>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8 zones depleted</w:t>
            </w:r>
          </w:p>
        </w:tc>
        <w:tc>
          <w:tcPr>
            <w:tcMar>
              <w:top w:w="80.0" w:type="dxa"/>
              <w:left w:w="100.0" w:type="dxa"/>
              <w:bottom w:w="80.0" w:type="dxa"/>
              <w:right w:w="100.0" w:type="dxa"/>
            </w:tcMa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4 zones preserved (50% reduction in depletion)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Hard Safety Constraint Violations</w:t>
            </w:r>
          </w:p>
        </w:tc>
        <w:tc>
          <w:tcPr>
            <w:tcMar>
              <w:top w:w="80.0" w:type="dxa"/>
              <w:left w:w="100.0" w:type="dxa"/>
              <w:bottom w:w="80.0" w:type="dxa"/>
              <w:right w:w="100.0" w:type="dxa"/>
            </w:tcMa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0 (Zero violations)</w:t>
            </w:r>
          </w:p>
        </w:tc>
        <w:tc>
          <w:tcPr>
            <w:tcMar>
              <w:top w:w="80.0" w:type="dxa"/>
              <w:left w:w="100.0" w:type="dxa"/>
              <w:bottom w:w="80.0" w:type="dxa"/>
              <w:right w:w="100.0" w:type="dxa"/>
            </w:tcMar>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0 (Zero violations)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Algorithmic Execution Latency (ms)</w:t>
            </w:r>
          </w:p>
        </w:tc>
        <w:tc>
          <w:tcPr>
            <w:tcMar>
              <w:top w:w="80.0" w:type="dxa"/>
              <w:left w:w="100.0" w:type="dxa"/>
              <w:bottom w:w="80.0" w:type="dxa"/>
              <w:right w:w="100.0" w:type="dxa"/>
            </w:tcMa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18.4 ms</w:t>
            </w:r>
          </w:p>
        </w:tc>
        <w:tc>
          <w:tcPr>
            <w:tcMar>
              <w:top w:w="80.0" w:type="dxa"/>
              <w:left w:w="100.0" w:type="dxa"/>
              <w:bottom w:w="80.0" w:type="dxa"/>
              <w:right w:w="100.0" w:type="dxa"/>
            </w:tcMa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22.6 ms</w:t>
            </w:r>
          </w:p>
        </w:tc>
      </w:tr>
    </w:tbl>
    <w:p w:rsidR="00000000" w:rsidDel="00000000" w:rsidP="00000000" w:rsidRDefault="00000000" w:rsidRPr="00000000" w14:paraId="00000091">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t>Analysis: The evaluation empirically validates the research hypothesis. Coverage-Aware allocation achieved a 50% reduction in zone depletion (preserving scarce single defenders in satellite industrial zones like Ambattur) while maintaining parity or even improving response time during multi-incident sequential strain (4.56 km vs 4.63 km in Scenario 2). Across the full multi-zone stress suite, the overall distance trade-off remained minimal (+0.72 km aggregate delta) in exchange for eliminating zero-coverage deserts. Crucially, zero hard relational constraints were violated, and algorithmic execution overhead was negligible (under 25 ms), proving real-time feasibility for municipal dispatch systems.</w:t>
      </w:r>
    </w:p>
    <w:p w:rsidR="00000000" w:rsidDel="00000000" w:rsidP="00000000" w:rsidRDefault="00000000" w:rsidRPr="00000000" w14:paraId="0000009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7. Security, Privacy, Safety Boundaries &amp; Ethics</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Because emergency coordination platforms operate in high-stakes human environments, CiviCare enforces strict technical and ethical boundaries:</w:t>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b w:val="1"/>
          <w:bCs w:val="1"/>
          <w:rtl w:val="0"/>
        </w:rPr>
        <w:t xml:space="preserve">1. Absolute Lifeline Primacy (112 / 108): </w:t>
      </w:r>
      <w:r w:rsidDel="00000000" w:rsidR="00000000" w:rsidRPr="00000000">
        <w:rPr>
          <w:rFonts w:ascii="Arial" w:cs="Arial" w:eastAsia="Arial" w:hAnsi="Arial"/>
          <w:rtl w:val="0"/>
        </w:rPr>
        <w:t xml:space="preserve">The platform explicitly states on every view that it does NOT replace government emergency services. Users are never instructed to wait for a volunteer if urgent professional help is needed.</w:t>
        <w:br w:type="textWrapping"/>
      </w:r>
      <w:r w:rsidDel="00000000" w:rsidR="00000000" w:rsidRPr="00000000">
        <w:rPr>
          <w:rFonts w:ascii="Arial" w:cs="Arial" w:eastAsia="Arial" w:hAnsi="Arial"/>
          <w:b w:val="1"/>
          <w:bCs w:val="1"/>
          <w:rtl w:val="0"/>
        </w:rPr>
        <w:t xml:space="preserve">2. Data Minimization: </w:t>
      </w:r>
      <w:r w:rsidDel="00000000" w:rsidR="00000000" w:rsidRPr="00000000">
        <w:rPr>
          <w:rFonts w:ascii="Arial" w:cs="Arial" w:eastAsia="Arial" w:hAnsi="Arial"/>
          <w:rtl w:val="0"/>
        </w:rPr>
        <w:t xml:space="preserve">Guest emergency reports require zero registration or identity documentation. Victims are not asked for medical history or national IDs.</w:t>
        <w:br w:type="textWrapping"/>
      </w:r>
      <w:r w:rsidDel="00000000" w:rsidR="00000000" w:rsidRPr="00000000">
        <w:rPr>
          <w:rFonts w:ascii="Arial" w:cs="Arial" w:eastAsia="Arial" w:hAnsi="Arial"/>
          <w:b w:val="1"/>
          <w:bCs w:val="1"/>
          <w:rtl w:val="0"/>
        </w:rPr>
        <w:t xml:space="preserve">3. Privacy Partitioning: </w:t>
      </w:r>
      <w:r w:rsidDel="00000000" w:rsidR="00000000" w:rsidRPr="00000000">
        <w:rPr>
          <w:rFonts w:ascii="Arial" w:cs="Arial" w:eastAsia="Arial" w:hAnsi="Arial"/>
          <w:rtl w:val="0"/>
        </w:rPr>
        <w:t xml:space="preserve">Victims do not receive responder personal phone numbers or home addresses; responders only receive approximate incident landmarks.</w:t>
        <w:br w:type="textWrapping"/>
      </w:r>
      <w:r w:rsidDel="00000000" w:rsidR="00000000" w:rsidRPr="00000000">
        <w:rPr>
          <w:rFonts w:ascii="Arial" w:cs="Arial" w:eastAsia="Arial" w:hAnsi="Arial"/>
          <w:b w:val="1"/>
          <w:bCs w:val="1"/>
          <w:rtl w:val="0"/>
        </w:rPr>
        <w:t xml:space="preserve">4. No Fabricated Live Capacity: </w:t>
      </w:r>
      <w:r w:rsidDel="00000000" w:rsidR="00000000" w:rsidRPr="00000000">
        <w:rPr>
          <w:rFonts w:ascii="Arial" w:cs="Arial" w:eastAsia="Arial" w:hAnsi="Arial"/>
          <w:rtl w:val="0"/>
        </w:rPr>
        <w:t xml:space="preserve">Hospitals list verified documented capabilities and phone lines; the system avoids unverified live bed count claims.</w:t>
      </w:r>
    </w:p>
    <w:p w:rsidR="00000000" w:rsidDel="00000000" w:rsidP="00000000" w:rsidRDefault="00000000" w:rsidRPr="00000000" w14:paraId="00000097">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8. Conclusion &amp; Future Research Directions</w:t>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CiviCare successfully demonstrates that an academic database management system can address real-world community emergency readiness. By replacing naive proximity matching with a normalized 3NF relational data model and a coverage-aware objective function, the system protects vulnerable geographic zones from emergency desertification while maintaining strict credential safety.</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Future enhancements include integration with live OpenStreetMap road network routing APIs (such as OSRM or Valhalla) for real-time traffic-calibrated travel estimates, real-time GPS telemetry via WebSockets, and field calibration partnerships with institutional bodies.</w:t>
      </w:r>
    </w:p>
    <w:p w:rsidR="00000000" w:rsidDel="00000000" w:rsidP="00000000" w:rsidRDefault="00000000" w:rsidRPr="00000000" w14:paraId="0000009A">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9. References &amp; Data Provenance Register</w:t>
      </w:r>
    </w:p>
    <w:p w:rsidR="00000000" w:rsidDel="00000000" w:rsidP="00000000" w:rsidRDefault="00000000" w:rsidRPr="00000000" w14:paraId="0000009B">
      <w:pPr>
        <w:spacing w:after="80" w:lineRule="auto"/>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Emergency Response Support System (ERSS 112 India): Ministry of Home Affairs, Government of India. https://112.gov.in/</w:t>
      </w:r>
    </w:p>
    <w:p w:rsidR="00000000" w:rsidDel="00000000" w:rsidP="00000000" w:rsidRDefault="00000000" w:rsidRPr="00000000" w14:paraId="0000009C">
      <w:pPr>
        <w:spacing w:after="80" w:lineRule="auto"/>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Tamil Nadu Health Systems Project (TNHSP 108 Ambulance Network): Government of Tamil Nadu. https://www.tnhsp.org/</w:t>
      </w:r>
    </w:p>
    <w:p w:rsidR="00000000" w:rsidDel="00000000" w:rsidP="00000000" w:rsidRDefault="00000000" w:rsidRPr="00000000" w14:paraId="0000009D">
      <w:pPr>
        <w:spacing w:after="80" w:lineRule="auto"/>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OpenStreetMap Contributors: Chennai Road Network and Healthcare Geographic Datasets (ODbL). https://www.openstreetmap.org/copyright</w:t>
      </w:r>
    </w:p>
    <w:p w:rsidR="00000000" w:rsidDel="00000000" w:rsidP="00000000" w:rsidRDefault="00000000" w:rsidRPr="00000000" w14:paraId="0000009E">
      <w:pPr>
        <w:spacing w:after="80" w:lineRule="auto"/>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Open Government Data (OGD) Platform India: Health Infrastructure Catalogue Chennai. https://data.gov.in/</w:t>
      </w:r>
    </w:p>
    <w:p w:rsidR="00000000" w:rsidDel="00000000" w:rsidP="00000000" w:rsidRDefault="00000000" w:rsidRPr="00000000" w14:paraId="0000009F">
      <w:pPr>
        <w:spacing w:after="80" w:lineRule="auto"/>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World Health Organization (WHO): Community First Responder Programs in Low- and Middle-Income Settings, Geneva: WHO Press.</w:t>
      </w:r>
    </w:p>
    <w:p w:rsidR="00000000" w:rsidDel="00000000" w:rsidP="00000000" w:rsidRDefault="00000000" w:rsidRPr="00000000" w14:paraId="000000A0">
      <w:pPr>
        <w:spacing w:after="80" w:lineRule="auto"/>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PostgreSQL Global Development Group: PostgreSQL 16 Relational Database Documentation and MVCC Architecture. https://www.postgresql.org/docs/</w:t>
      </w:r>
    </w:p>
    <w:p w:rsidR="00000000" w:rsidDel="00000000" w:rsidP="00000000" w:rsidRDefault="00000000" w:rsidRPr="00000000" w14:paraId="000000A1">
      <w:pPr>
        <w:spacing w:after="80" w:lineRule="auto"/>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ElectricSQL: PGlite Lightweight Embedded WebAssembly PostgreSQL Engine. https://pglite.electric-sql.com/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 Id="rId17"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hRa7U0ck8I4MHFXMQ5yWn12mJw==">CgMxLjAaHQoBMBIYChYIB0ISCgVBcmlhbBIJRmlyYSBNb25vOAByITFqSHhxeEsxZ2xnRHhoaUJaQ3VQeTFIVGhiUDVaWVMwRw==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