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center"/>
      </w:pPr>
      <w:r>
        <w:rPr>
          <w:b/>
          <w:sz w:val="44"/>
        </w:rPr>
        <w:t>HOSPITAL PATIENT APPOINTMENT</w:t>
        <w:br/>
        <w:t>ANALYTICS AND NO-SHOW PREDICTION</w:t>
      </w:r>
    </w:p>
    <w:p>
      <w:pPr>
        <w:jc w:val="center"/>
      </w:pPr>
      <w:r>
        <w:rPr>
          <w:b/>
          <w:sz w:val="30"/>
        </w:rPr>
        <w:br/>
        <w:t>PROJECT REPORT</w:t>
      </w:r>
    </w:p>
    <w:p>
      <w:pPr>
        <w:jc w:val="center"/>
      </w:pPr>
      <w:r>
        <w:rPr>
          <w:b/>
        </w:rPr>
        <w:br/>
        <w:t>Submitted by</w:t>
        <w:br/>
      </w:r>
      <w:r>
        <w:rPr>
          <w:sz w:val="24"/>
        </w:rPr>
        <w:t>Bhavya</w:t>
        <w:br/>
        <w:br/>
      </w:r>
      <w:r>
        <w:rPr>
          <w:b/>
        </w:rPr>
        <w:t>IBM SkillsBuild — Data Analytics with AI Internship</w:t>
      </w:r>
      <w:r>
        <w:br/>
        <w:t>Dataset: healthcare_noshows.csv</w:t>
        <w:br/>
        <w:t>Python • Pandas • NumPy • Scikit-learn • Matplotlib • Seaborn • Streamlit</w:t>
      </w:r>
    </w:p>
    <w:p>
      <w:r>
        <w:drawing>
          <wp:inline distT="0" distB="0" distL="114298" distR="114298">
            <wp:extent cx="6035040" cy="1585902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35040" cy="1585902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1. End-to-end project workflow.</w:t>
      </w:r>
    </w:p>
    <w:p>
      <w:r>
        <w:br w:type="page"/>
      </w:r>
    </w:p>
    <w:p>
      <w:pPr>
        <w:pStyle w:val="1"/>
        <w:spacing w:before="140" w:after="80"/>
      </w:pPr>
      <w:r>
        <w:t>1. Abstract</w:t>
      </w:r>
    </w:p>
    <w:p>
      <w:r>
        <w:t>This project presents an end-to-end data analytics and machine-learning workflow for predicting whether a patient will miss a scheduled medical appointment. It uses healthcare_noshows.csv and covers data ingestion, cleaning, exploratory data analysis, feature engineering, model training, evaluation, prediction, AI-assisted risk analysis, and an interactive Streamlit dashboard. Three classification models are documented: Logistic Regression, Random Forest, and Gradient Boosting.</w:t>
      </w:r>
    </w:p>
    <w:p>
      <w:pPr>
        <w:pStyle w:val="1"/>
        <w:spacing w:before="140" w:after="80"/>
      </w:pPr>
      <w:r>
        <w:t>2. Introduction</w:t>
      </w:r>
    </w:p>
    <w:p>
      <w:r>
        <w:t>Patient no-shows occur when a scheduled patient does not attend an appointment. Missed appointments can leave clinical capacity unused and can reduce opportunities to serve other patients. This project studies appointment-level data to understand attendance patterns and develop a predictive classification workflow.</w:t>
      </w:r>
    </w:p>
    <w:p>
      <w:r>
        <w:t>The supplied notebook documents 110,527 appointment records from Brazil. The target no_show is derived from Showed_up: 1 indicates a missed appointment and 0 indicates attendance.</w:t>
      </w:r>
    </w:p>
    <w:p>
      <w:pPr>
        <w:pStyle w:val="1"/>
        <w:spacing w:before="140" w:after="80"/>
      </w:pPr>
      <w:r>
        <w:t>3. Problem Statement</w:t>
      </w:r>
    </w:p>
    <w:p>
      <w:r>
        <w:t>The problem is to estimate the likelihood that a scheduled appointment will be missed using available patient, medical-history, reminder, and scheduling information, so that healthcare teams can identify appointments that may require additional operational attention.</w:t>
      </w:r>
    </w:p>
    <w:p>
      <w:pPr>
        <w:pStyle w:val="1"/>
        <w:spacing w:before="140" w:after="80"/>
      </w:pPr>
      <w:r>
        <w:t>4. Objectives</w:t>
      </w:r>
    </w:p>
    <w:p>
      <w:pPr>
        <w:pStyle w:val="30"/>
      </w:pPr>
      <w:r>
        <w:t>Perform exploratory data analysis to understand distributions, patterns, and relationships.</w:t>
      </w:r>
    </w:p>
    <w:p>
      <w:pPr>
        <w:pStyle w:val="30"/>
      </w:pPr>
      <w:r>
        <w:t>Identify factors associated with appointment no-shows.</w:t>
      </w:r>
    </w:p>
    <w:p>
      <w:pPr>
        <w:pStyle w:val="30"/>
      </w:pPr>
      <w:r>
        <w:t>Create meaningful features from dates, categorical variables, and health-condition indicators.</w:t>
      </w:r>
    </w:p>
    <w:p>
      <w:pPr>
        <w:pStyle w:val="30"/>
      </w:pPr>
      <w:r>
        <w:t>Train and compare Logistic Regression, Random Forest, and Gradient Boosting classifiers.</w:t>
      </w:r>
    </w:p>
    <w:p>
      <w:pPr>
        <w:pStyle w:val="30"/>
      </w:pPr>
      <w:r>
        <w:t>Evaluate models using ROC-AUC, accuracy, classification reports, and confusion matrices.</w:t>
      </w:r>
    </w:p>
    <w:p>
      <w:pPr>
        <w:pStyle w:val="30"/>
      </w:pPr>
      <w:r>
        <w:t>Build a reusable prediction function returning a prediction and no-show probability.</w:t>
      </w:r>
    </w:p>
    <w:p>
      <w:pPr>
        <w:pStyle w:val="30"/>
      </w:pPr>
      <w:r>
        <w:t>Provide operational recommendations based on the documented analysis.</w:t>
      </w:r>
    </w:p>
    <w:p>
      <w:r>
        <w:br w:type="page"/>
      </w:r>
    </w:p>
    <w:p>
      <w:pPr>
        <w:pStyle w:val="1"/>
        <w:spacing w:before="140" w:after="80"/>
      </w:pPr>
      <w:r>
        <w:t>5. Dataset Description</w:t>
      </w:r>
    </w:p>
    <w:p>
      <w:r>
        <w:t>The project uses healthcare_noshows.csv. The notebook documents 110,527 records and these raw fields:</w:t>
      </w:r>
    </w:p>
    <w:tbl>
      <w:tblPr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>
        <w:tc>
          <w:tcPr>
            <w:tcW w:w="5040" w:type="dxa"/>
            <w:shd w:val="clear" w:color="auto" w:fill="D9EAF7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Column</w:t>
            </w:r>
          </w:p>
        </w:tc>
        <w:tc>
          <w:tcPr>
            <w:tcW w:w="5040" w:type="dxa"/>
            <w:shd w:val="clear" w:color="auto" w:fill="D9EAF7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w="504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PatientId</w:t>
            </w:r>
          </w:p>
        </w:tc>
        <w:tc>
          <w:tcPr>
            <w:tcW w:w="504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Unique patient identifier</w:t>
            </w:r>
          </w:p>
        </w:tc>
      </w:tr>
      <w:tr>
        <w:tc>
          <w:tcPr>
            <w:tcW w:w="504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AppointmentID</w:t>
            </w:r>
          </w:p>
        </w:tc>
        <w:tc>
          <w:tcPr>
            <w:tcW w:w="504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Unique appointment identifier</w:t>
            </w:r>
          </w:p>
        </w:tc>
      </w:tr>
      <w:tr>
        <w:tc>
          <w:tcPr>
            <w:tcW w:w="504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Gender</w:t>
            </w:r>
          </w:p>
        </w:tc>
        <w:tc>
          <w:tcPr>
            <w:tcW w:w="504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Patient gender (F/M)</w:t>
            </w:r>
          </w:p>
        </w:tc>
      </w:tr>
      <w:tr>
        <w:tc>
          <w:tcPr>
            <w:tcW w:w="504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ScheduledDay</w:t>
            </w:r>
          </w:p>
        </w:tc>
        <w:tc>
          <w:tcPr>
            <w:tcW w:w="504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Date the appointment was scheduled</w:t>
            </w:r>
          </w:p>
        </w:tc>
      </w:tr>
      <w:tr>
        <w:tc>
          <w:tcPr>
            <w:tcW w:w="504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AppointmentDay</w:t>
            </w:r>
          </w:p>
        </w:tc>
        <w:tc>
          <w:tcPr>
            <w:tcW w:w="504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Date of the actual appointment</w:t>
            </w:r>
          </w:p>
        </w:tc>
      </w:tr>
      <w:tr>
        <w:tc>
          <w:tcPr>
            <w:tcW w:w="504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Age</w:t>
            </w:r>
          </w:p>
        </w:tc>
        <w:tc>
          <w:tcPr>
            <w:tcW w:w="504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Patient age in years</w:t>
            </w:r>
          </w:p>
        </w:tc>
      </w:tr>
      <w:tr>
        <w:tc>
          <w:tcPr>
            <w:tcW w:w="504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Neighbourhood</w:t>
            </w:r>
          </w:p>
        </w:tc>
        <w:tc>
          <w:tcPr>
            <w:tcW w:w="504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Area where the clinic is located</w:t>
            </w:r>
          </w:p>
        </w:tc>
      </w:tr>
      <w:tr>
        <w:tc>
          <w:tcPr>
            <w:tcW w:w="504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Scholarship</w:t>
            </w:r>
          </w:p>
        </w:tc>
        <w:tc>
          <w:tcPr>
            <w:tcW w:w="504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Bolsa Família welfare participation flag</w:t>
            </w:r>
          </w:p>
        </w:tc>
      </w:tr>
      <w:tr>
        <w:tc>
          <w:tcPr>
            <w:tcW w:w="504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Hipertension</w:t>
            </w:r>
          </w:p>
        </w:tc>
        <w:tc>
          <w:tcPr>
            <w:tcW w:w="504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Hypertension diagnosis flag</w:t>
            </w:r>
          </w:p>
        </w:tc>
      </w:tr>
      <w:tr>
        <w:tc>
          <w:tcPr>
            <w:tcW w:w="504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Diabetes</w:t>
            </w:r>
          </w:p>
        </w:tc>
        <w:tc>
          <w:tcPr>
            <w:tcW w:w="504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Diabetes diagnosis flag</w:t>
            </w:r>
          </w:p>
        </w:tc>
      </w:tr>
      <w:tr>
        <w:tc>
          <w:tcPr>
            <w:tcW w:w="504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Alcoholism</w:t>
            </w:r>
          </w:p>
        </w:tc>
        <w:tc>
          <w:tcPr>
            <w:tcW w:w="504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Alcoholism flag</w:t>
            </w:r>
          </w:p>
        </w:tc>
      </w:tr>
      <w:tr>
        <w:tc>
          <w:tcPr>
            <w:tcW w:w="504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Handcap</w:t>
            </w:r>
          </w:p>
        </w:tc>
        <w:tc>
          <w:tcPr>
            <w:tcW w:w="504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Handicap flag</w:t>
            </w:r>
          </w:p>
        </w:tc>
      </w:tr>
      <w:tr>
        <w:tc>
          <w:tcPr>
            <w:tcW w:w="504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SMS_received</w:t>
            </w:r>
          </w:p>
        </w:tc>
        <w:tc>
          <w:tcPr>
            <w:tcW w:w="504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Whether an SMS reminder was sent</w:t>
            </w:r>
          </w:p>
        </w:tc>
      </w:tr>
      <w:tr>
        <w:tc>
          <w:tcPr>
            <w:tcW w:w="504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Showed_up</w:t>
            </w:r>
          </w:p>
        </w:tc>
        <w:tc>
          <w:tcPr>
            <w:tcW w:w="504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Whether the patient attended</w:t>
            </w:r>
          </w:p>
        </w:tc>
      </w:tr>
      <w:tr>
        <w:tc>
          <w:tcPr>
            <w:tcW w:w="504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Date.diff</w:t>
            </w:r>
          </w:p>
        </w:tc>
        <w:tc>
          <w:tcPr>
            <w:tcW w:w="504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Scheduling-to-appointment difference</w:t>
            </w:r>
          </w:p>
        </w:tc>
      </w:tr>
    </w:tbl>
    <w:p/>
    <w:p>
      <w:pPr>
        <w:pStyle w:val="1"/>
        <w:spacing w:before="140" w:after="80"/>
      </w:pPr>
      <w:r>
        <w:t>6. Technologies Used</w:t>
      </w:r>
    </w:p>
    <w:tbl>
      <w:tblPr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>
        <w:tc>
          <w:tcPr>
            <w:tcW w:w="5040" w:type="dxa"/>
            <w:shd w:val="clear" w:color="auto" w:fill="D9EAF7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Technology</w:t>
            </w:r>
          </w:p>
        </w:tc>
        <w:tc>
          <w:tcPr>
            <w:tcW w:w="5040" w:type="dxa"/>
            <w:shd w:val="clear" w:color="auto" w:fill="D9EAF7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Use</w:t>
            </w:r>
          </w:p>
        </w:tc>
      </w:tr>
      <w:tr>
        <w:tc>
          <w:tcPr>
            <w:tcW w:w="504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Python</w:t>
            </w:r>
          </w:p>
        </w:tc>
        <w:tc>
          <w:tcPr>
            <w:tcW w:w="504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Core programming and analysis</w:t>
            </w:r>
          </w:p>
        </w:tc>
      </w:tr>
      <w:tr>
        <w:tc>
          <w:tcPr>
            <w:tcW w:w="504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Pandas</w:t>
            </w:r>
          </w:p>
        </w:tc>
        <w:tc>
          <w:tcPr>
            <w:tcW w:w="504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Data loading, cleaning and analysis</w:t>
            </w:r>
          </w:p>
        </w:tc>
      </w:tr>
      <w:tr>
        <w:tc>
          <w:tcPr>
            <w:tcW w:w="504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NumPy</w:t>
            </w:r>
          </w:p>
        </w:tc>
        <w:tc>
          <w:tcPr>
            <w:tcW w:w="504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Numerical operations</w:t>
            </w:r>
          </w:p>
        </w:tc>
      </w:tr>
      <w:tr>
        <w:tc>
          <w:tcPr>
            <w:tcW w:w="504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Matplotlib</w:t>
            </w:r>
          </w:p>
        </w:tc>
        <w:tc>
          <w:tcPr>
            <w:tcW w:w="504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Visualization</w:t>
            </w:r>
          </w:p>
        </w:tc>
      </w:tr>
      <w:tr>
        <w:tc>
          <w:tcPr>
            <w:tcW w:w="504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Seaborn</w:t>
            </w:r>
          </w:p>
        </w:tc>
        <w:tc>
          <w:tcPr>
            <w:tcW w:w="504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Statistical plots and heatmaps</w:t>
            </w:r>
          </w:p>
        </w:tc>
      </w:tr>
      <w:tr>
        <w:tc>
          <w:tcPr>
            <w:tcW w:w="504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Scikit-learn</w:t>
            </w:r>
          </w:p>
        </w:tc>
        <w:tc>
          <w:tcPr>
            <w:tcW w:w="504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Scaling, model training and evaluation</w:t>
            </w:r>
          </w:p>
        </w:tc>
      </w:tr>
      <w:tr>
        <w:tc>
          <w:tcPr>
            <w:tcW w:w="504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Joblib</w:t>
            </w:r>
          </w:p>
        </w:tc>
        <w:tc>
          <w:tcPr>
            <w:tcW w:w="504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Model artifact persistence</w:t>
            </w:r>
          </w:p>
        </w:tc>
      </w:tr>
      <w:tr>
        <w:tc>
          <w:tcPr>
            <w:tcW w:w="504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Streamlit</w:t>
            </w:r>
          </w:p>
        </w:tc>
        <w:tc>
          <w:tcPr>
            <w:tcW w:w="504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Interactive dashboard</w:t>
            </w:r>
          </w:p>
        </w:tc>
      </w:tr>
    </w:tbl>
    <w:p/>
    <w:p>
      <w:pPr>
        <w:pStyle w:val="1"/>
        <w:spacing w:before="140" w:after="80"/>
      </w:pPr>
      <w:r>
        <w:t>7. Project Workflow</w:t>
      </w:r>
    </w:p>
    <w:p>
      <w:r>
        <w:drawing>
          <wp:inline distT="0" distB="0" distL="114298" distR="114298">
            <wp:extent cx="6035040" cy="1585902"/>
            <wp:effectExtent l="0" t="0" r="0" b="0"/>
            <wp:docPr id="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图片 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35040" cy="1585902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2. Project workflow.</w:t>
      </w:r>
    </w:p>
    <w:p>
      <w:pPr>
        <w:pStyle w:val="1"/>
        <w:spacing w:before="140" w:after="80"/>
      </w:pPr>
      <w:r>
        <w:t>8. Data Cleaning and Preprocessing</w:t>
      </w:r>
    </w:p>
    <w:p>
      <w:pPr>
        <w:pStyle w:val="27"/>
      </w:pPr>
      <w:r>
        <w:t>Normalize column names to lowercase and replace spaces with underscores.</w:t>
      </w:r>
    </w:p>
    <w:p>
      <w:pPr>
        <w:pStyle w:val="27"/>
      </w:pPr>
      <w:r>
        <w:t>Parse ScheduledDay and AppointmentDay as datetime values.</w:t>
      </w:r>
    </w:p>
    <w:p>
      <w:pPr>
        <w:pStyle w:val="27"/>
      </w:pPr>
      <w:r>
        <w:t>Convert TRUE/FALSE binary fields into 0/1 values.</w:t>
      </w:r>
    </w:p>
    <w:p>
      <w:pPr>
        <w:pStyle w:val="27"/>
      </w:pPr>
      <w:r>
        <w:t>Create no_show by inverting Showed_up.</w:t>
      </w:r>
    </w:p>
    <w:p>
      <w:pPr>
        <w:pStyle w:val="27"/>
      </w:pPr>
      <w:r>
        <w:t>Drop PatientId and AppointmentID from model features.</w:t>
      </w:r>
    </w:p>
    <w:p>
      <w:pPr>
        <w:pStyle w:val="27"/>
      </w:pPr>
      <w:r>
        <w:t>Remove rows where Age &lt; 0.</w:t>
      </w:r>
    </w:p>
    <w:p>
      <w:pPr>
        <w:pStyle w:val="27"/>
      </w:pPr>
      <w:r>
        <w:t>Check missing values, duplicates, invalid ages, date consistency, gender values, and binary fields.</w:t>
      </w:r>
    </w:p>
    <w:p>
      <w:r>
        <w:rPr>
          <w:i/>
          <w:sz w:val="18"/>
        </w:rPr>
        <w:t>Note: the supplied notebook contains the cleaning code but no executed cell outputs, so exact row-removal counts are not reproduced here.</w:t>
      </w:r>
    </w:p>
    <w:p>
      <w:pPr>
        <w:pStyle w:val="1"/>
        <w:spacing w:before="140" w:after="80"/>
      </w:pPr>
      <w:r>
        <w:t>9. Exploratory Data Analysis</w:t>
      </w:r>
    </w:p>
    <w:p>
      <w:pPr>
        <w:pStyle w:val="27"/>
      </w:pPr>
      <w:r>
        <w:t>Gender and age distributions.</w:t>
      </w:r>
    </w:p>
    <w:p>
      <w:pPr>
        <w:pStyle w:val="27"/>
      </w:pPr>
      <w:r>
        <w:t>Overall showed-up versus no-show distribution.</w:t>
      </w:r>
    </w:p>
    <w:p>
      <w:pPr>
        <w:pStyle w:val="27"/>
      </w:pPr>
      <w:r>
        <w:t>No-show rate by gender and age group.</w:t>
      </w:r>
    </w:p>
    <w:p>
      <w:pPr>
        <w:pStyle w:val="27"/>
      </w:pPr>
      <w:r>
        <w:t>No-show rate by SMS reminder status.</w:t>
      </w:r>
    </w:p>
    <w:p>
      <w:pPr>
        <w:pStyle w:val="27"/>
      </w:pPr>
      <w:r>
        <w:t>No-show rate by weekday and medical-condition/programme status.</w:t>
      </w:r>
    </w:p>
    <w:p>
      <w:pPr>
        <w:pStyle w:val="27"/>
      </w:pPr>
      <w:r>
        <w:t>Wait-time distribution and no-show rate by wait-time bucket.</w:t>
      </w:r>
    </w:p>
    <w:p>
      <w:pPr>
        <w:pStyle w:val="27"/>
      </w:pPr>
      <w:r>
        <w:t>Feature correlation heatmap and correlation with the target.</w:t>
      </w:r>
    </w:p>
    <w:p>
      <w:r>
        <w:t>The notebook documents an overall no-show rate of approximately 20%. Exact chart values should be taken from an executed notebook run if numerical figures are required.</w:t>
      </w:r>
    </w:p>
    <w:p>
      <w:r>
        <w:br w:type="page"/>
      </w:r>
    </w:p>
    <w:p>
      <w:pPr>
        <w:pStyle w:val="1"/>
        <w:spacing w:before="140" w:after="80"/>
      </w:pPr>
      <w:r>
        <w:t>10. Feature Engineering</w:t>
      </w:r>
    </w:p>
    <w:tbl>
      <w:tblPr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>
        <w:tc>
          <w:tcPr>
            <w:tcW w:w="3360" w:type="dxa"/>
            <w:shd w:val="clear" w:color="auto" w:fill="D9EAF7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Feature</w:t>
            </w:r>
          </w:p>
        </w:tc>
        <w:tc>
          <w:tcPr>
            <w:tcW w:w="3360" w:type="dxa"/>
            <w:shd w:val="clear" w:color="auto" w:fill="D9EAF7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Creation</w:t>
            </w:r>
          </w:p>
        </w:tc>
        <w:tc>
          <w:tcPr>
            <w:tcW w:w="3360" w:type="dxa"/>
            <w:shd w:val="clear" w:color="auto" w:fill="D9EAF7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w="336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wait_days</w:t>
            </w:r>
          </w:p>
        </w:tc>
        <w:tc>
          <w:tcPr>
            <w:tcW w:w="336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AppointmentDay − ScheduledDay, clipped at 0</w:t>
            </w:r>
          </w:p>
        </w:tc>
        <w:tc>
          <w:tcPr>
            <w:tcW w:w="336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Waiting-time signal</w:t>
            </w:r>
          </w:p>
        </w:tc>
      </w:tr>
      <w:tr>
        <w:tc>
          <w:tcPr>
            <w:tcW w:w="336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appt_weekday</w:t>
            </w:r>
          </w:p>
        </w:tc>
        <w:tc>
          <w:tcPr>
            <w:tcW w:w="336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Day of week</w:t>
            </w:r>
          </w:p>
        </w:tc>
        <w:tc>
          <w:tcPr>
            <w:tcW w:w="336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Weekly scheduling pattern</w:t>
            </w:r>
          </w:p>
        </w:tc>
      </w:tr>
      <w:tr>
        <w:tc>
          <w:tcPr>
            <w:tcW w:w="336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appt_month</w:t>
            </w:r>
          </w:p>
        </w:tc>
        <w:tc>
          <w:tcPr>
            <w:tcW w:w="336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Month</w:t>
            </w:r>
          </w:p>
        </w:tc>
        <w:tc>
          <w:tcPr>
            <w:tcW w:w="336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Seasonal pattern</w:t>
            </w:r>
          </w:p>
        </w:tc>
      </w:tr>
      <w:tr>
        <w:tc>
          <w:tcPr>
            <w:tcW w:w="336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age_group_enc</w:t>
            </w:r>
          </w:p>
        </w:tc>
        <w:tc>
          <w:tcPr>
            <w:tcW w:w="336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Age bins mapped to 0–4</w:t>
            </w:r>
          </w:p>
        </w:tc>
        <w:tc>
          <w:tcPr>
            <w:tcW w:w="336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Non-linear age effects</w:t>
            </w:r>
          </w:p>
        </w:tc>
      </w:tr>
      <w:tr>
        <w:tc>
          <w:tcPr>
            <w:tcW w:w="336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comorbidity_count</w:t>
            </w:r>
          </w:p>
        </w:tc>
        <w:tc>
          <w:tcPr>
            <w:tcW w:w="336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Sum of four condition flags</w:t>
            </w:r>
          </w:p>
        </w:tc>
        <w:tc>
          <w:tcPr>
            <w:tcW w:w="336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Aggregate condition burden</w:t>
            </w:r>
          </w:p>
        </w:tc>
      </w:tr>
      <w:tr>
        <w:tc>
          <w:tcPr>
            <w:tcW w:w="336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gender_enc</w:t>
            </w:r>
          </w:p>
        </w:tc>
        <w:tc>
          <w:tcPr>
            <w:tcW w:w="336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Female=1, Male=0</w:t>
            </w:r>
          </w:p>
        </w:tc>
        <w:tc>
          <w:tcPr>
            <w:tcW w:w="336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Numeric encoding</w:t>
            </w:r>
          </w:p>
        </w:tc>
      </w:tr>
      <w:tr>
        <w:tc>
          <w:tcPr>
            <w:tcW w:w="336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neighbourhood_freq</w:t>
            </w:r>
          </w:p>
        </w:tc>
        <w:tc>
          <w:tcPr>
            <w:tcW w:w="336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Frequency encoding</w:t>
            </w:r>
          </w:p>
        </w:tc>
        <w:tc>
          <w:tcPr>
            <w:tcW w:w="336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Neighbourhood signal</w:t>
            </w:r>
          </w:p>
        </w:tc>
      </w:tr>
    </w:tbl>
    <w:p/>
    <w:p>
      <w:pPr>
        <w:pStyle w:val="1"/>
        <w:spacing w:before="140" w:after="80"/>
      </w:pPr>
      <w:r>
        <w:t>11. Train-Test Split and Scaling</w:t>
      </w:r>
    </w:p>
    <w:p>
      <w:r>
        <w:t>The notebook uses an 80/20 stratified train-test split with random_state=42. StandardScaler is fitted on training data and applied to both training and test data.</w:t>
      </w:r>
    </w:p>
    <w:p>
      <w:pPr>
        <w:pStyle w:val="1"/>
        <w:spacing w:before="140" w:after="80"/>
      </w:pPr>
      <w:r>
        <w:t>12. Machine Learning Models</w:t>
      </w:r>
    </w:p>
    <w:tbl>
      <w:tblPr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>
        <w:tc>
          <w:tcPr>
            <w:tcW w:w="3360" w:type="dxa"/>
            <w:shd w:val="clear" w:color="auto" w:fill="D9EAF7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Model</w:t>
            </w:r>
          </w:p>
        </w:tc>
        <w:tc>
          <w:tcPr>
            <w:tcW w:w="3360" w:type="dxa"/>
            <w:shd w:val="clear" w:color="auto" w:fill="D9EAF7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Configuration</w:t>
            </w:r>
          </w:p>
        </w:tc>
        <w:tc>
          <w:tcPr>
            <w:tcW w:w="3360" w:type="dxa"/>
            <w:shd w:val="clear" w:color="auto" w:fill="D9EAF7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Role</w:t>
            </w:r>
          </w:p>
        </w:tc>
      </w:tr>
      <w:tr>
        <w:tc>
          <w:tcPr>
            <w:tcW w:w="336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Logistic Regression</w:t>
            </w:r>
          </w:p>
        </w:tc>
        <w:tc>
          <w:tcPr>
            <w:tcW w:w="336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max_iter=1000; class_weight='balanced'</w:t>
            </w:r>
          </w:p>
        </w:tc>
        <w:tc>
          <w:tcPr>
            <w:tcW w:w="336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Linear baseline</w:t>
            </w:r>
          </w:p>
        </w:tc>
      </w:tr>
      <w:tr>
        <w:tc>
          <w:tcPr>
            <w:tcW w:w="336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Random Forest</w:t>
            </w:r>
          </w:p>
        </w:tc>
        <w:tc>
          <w:tcPr>
            <w:tcW w:w="336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200 trees; max_depth=8; balanced class weights</w:t>
            </w:r>
          </w:p>
        </w:tc>
        <w:tc>
          <w:tcPr>
            <w:tcW w:w="336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Tree ensemble</w:t>
            </w:r>
          </w:p>
        </w:tc>
      </w:tr>
      <w:tr>
        <w:tc>
          <w:tcPr>
            <w:tcW w:w="336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Gradient Boosting</w:t>
            </w:r>
          </w:p>
        </w:tc>
        <w:tc>
          <w:tcPr>
            <w:tcW w:w="336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200 estimators; max_depth=4; learning_rate=0.05</w:t>
            </w:r>
          </w:p>
        </w:tc>
        <w:tc>
          <w:tcPr>
            <w:tcW w:w="336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Boosting classifier</w:t>
            </w:r>
          </w:p>
        </w:tc>
      </w:tr>
    </w:tbl>
    <w:p/>
    <w:p>
      <w:r>
        <w:t>Five-fold stratified cross-validation ROC-AUC is calculated on the training set, followed by held-out test evaluation.</w:t>
      </w:r>
    </w:p>
    <w:p>
      <w:pPr>
        <w:pStyle w:val="1"/>
        <w:spacing w:before="140" w:after="80"/>
      </w:pPr>
      <w:r>
        <w:t>13. Model Evaluation</w:t>
      </w:r>
    </w:p>
    <w:tbl>
      <w:tblPr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>
        <w:tc>
          <w:tcPr>
            <w:tcW w:w="5040" w:type="dxa"/>
            <w:shd w:val="clear" w:color="auto" w:fill="D9EAF7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Evaluation</w:t>
            </w:r>
          </w:p>
        </w:tc>
        <w:tc>
          <w:tcPr>
            <w:tcW w:w="5040" w:type="dxa"/>
            <w:shd w:val="clear" w:color="auto" w:fill="D9EAF7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w="504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ROC-AUC</w:t>
            </w:r>
          </w:p>
        </w:tc>
        <w:tc>
          <w:tcPr>
            <w:tcW w:w="504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Discrimination/ranking performance across thresholds</w:t>
            </w:r>
          </w:p>
        </w:tc>
      </w:tr>
      <w:tr>
        <w:tc>
          <w:tcPr>
            <w:tcW w:w="504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Accuracy</w:t>
            </w:r>
          </w:p>
        </w:tc>
        <w:tc>
          <w:tcPr>
            <w:tcW w:w="504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Overall classification correctness</w:t>
            </w:r>
          </w:p>
        </w:tc>
      </w:tr>
      <w:tr>
        <w:tc>
          <w:tcPr>
            <w:tcW w:w="504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Confusion Matrix</w:t>
            </w:r>
          </w:p>
        </w:tc>
        <w:tc>
          <w:tcPr>
            <w:tcW w:w="504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True/false predictions for both classes</w:t>
            </w:r>
          </w:p>
        </w:tc>
      </w:tr>
      <w:tr>
        <w:tc>
          <w:tcPr>
            <w:tcW w:w="504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Classification Report</w:t>
            </w:r>
          </w:p>
        </w:tc>
        <w:tc>
          <w:tcPr>
            <w:tcW w:w="504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Precision, recall and F1-score</w:t>
            </w:r>
          </w:p>
        </w:tc>
      </w:tr>
      <w:tr>
        <w:tc>
          <w:tcPr>
            <w:tcW w:w="504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Precision-Recall Curve</w:t>
            </w:r>
          </w:p>
        </w:tc>
        <w:tc>
          <w:tcPr>
            <w:tcW w:w="504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Precision-recall trade-off for no-show class</w:t>
            </w:r>
          </w:p>
        </w:tc>
      </w:tr>
      <w:tr>
        <w:tc>
          <w:tcPr>
            <w:tcW w:w="504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Probability Distribution</w:t>
            </w:r>
          </w:p>
        </w:tc>
        <w:tc>
          <w:tcPr>
            <w:tcW w:w="504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Distribution of predicted no-show probabilities</w:t>
            </w:r>
          </w:p>
        </w:tc>
      </w:tr>
    </w:tbl>
    <w:p/>
    <w:p>
      <w:r>
        <w:rPr>
          <w:i/>
          <w:sz w:val="18"/>
        </w:rPr>
        <w:t>Exact CV ROC-AUC, test ROC-AUC, accuracy, confusion-matrix counts and precision/recall values are not saved as executed outputs in the supplied notebook. This report therefore does not invent those numerical results.</w:t>
      </w:r>
    </w:p>
    <w:p>
      <w:pPr>
        <w:pStyle w:val="1"/>
        <w:spacing w:before="140" w:after="80"/>
      </w:pPr>
      <w:r>
        <w:t>14. Patient No-Show Prediction</w:t>
      </w:r>
    </w:p>
    <w:p>
      <w:r>
        <w:t>The reusable predict_noshow() function accepts age, gender, scholarship, medical-condition flags, SMS status, wait days, appointment weekday/month, and neighbourhood frequency. It applies the same feature transformations and scaler used during training, then returns a binary prediction and no-show probability.</w:t>
      </w:r>
    </w:p>
    <w:p>
      <w:pPr>
        <w:pStyle w:val="1"/>
        <w:spacing w:before="140" w:after="80"/>
      </w:pPr>
      <w:r>
        <w:t>15. Streamlit Dashboard</w:t>
      </w:r>
    </w:p>
    <w:tbl>
      <w:tblPr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>
        <w:tc>
          <w:tcPr>
            <w:tcW w:w="5040" w:type="dxa"/>
            <w:shd w:val="clear" w:color="auto" w:fill="D9EAF7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Page</w:t>
            </w:r>
          </w:p>
        </w:tc>
        <w:tc>
          <w:tcPr>
            <w:tcW w:w="5040" w:type="dxa"/>
            <w:shd w:val="clear" w:color="auto" w:fill="D9EAF7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Functionality</w:t>
            </w:r>
          </w:p>
        </w:tc>
      </w:tr>
      <w:tr>
        <w:tc>
          <w:tcPr>
            <w:tcW w:w="504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Overview &amp; EDA</w:t>
            </w:r>
          </w:p>
        </w:tc>
        <w:tc>
          <w:tcPr>
            <w:tcW w:w="504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Dataset statistics, class distribution, age/gender/SMS analysis and correlation visualization</w:t>
            </w:r>
          </w:p>
        </w:tc>
      </w:tr>
      <w:tr>
        <w:tc>
          <w:tcPr>
            <w:tcW w:w="504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Model Performance</w:t>
            </w:r>
          </w:p>
        </w:tc>
        <w:tc>
          <w:tcPr>
            <w:tcW w:w="504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Confusion matrix, ROC curve, feature importance and probability distribution</w:t>
            </w:r>
          </w:p>
        </w:tc>
      </w:tr>
      <w:tr>
        <w:tc>
          <w:tcPr>
            <w:tcW w:w="504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Predict No-Show</w:t>
            </w:r>
          </w:p>
        </w:tc>
        <w:tc>
          <w:tcPr>
            <w:tcW w:w="504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Interactive inputs with prediction, probability and risk information</w:t>
            </w:r>
          </w:p>
        </w:tc>
      </w:tr>
    </w:tbl>
    <w:p/>
    <w:p>
      <w:r>
        <w:t>The notebook identifies app.py as the Streamlit frontend and ml_backend.py as the modular machine-learning backend. The saved artifact is model_artifacts.joblib.</w:t>
      </w:r>
    </w:p>
    <w:p>
      <w:r>
        <w:br w:type="page"/>
      </w:r>
    </w:p>
    <w:p>
      <w:pPr>
        <w:pStyle w:val="1"/>
        <w:spacing w:before="140" w:after="80"/>
      </w:pPr>
      <w:r>
        <w:t>16. AI-Assisted Analysis</w:t>
      </w:r>
    </w:p>
    <w:p>
      <w:pPr>
        <w:pStyle w:val="27"/>
      </w:pPr>
      <w:r>
        <w:t>Risk segmentation using predicted no-show probabilities: Low, Medium and High Risk.</w:t>
      </w:r>
    </w:p>
    <w:p>
      <w:pPr>
        <w:pStyle w:val="27"/>
      </w:pPr>
      <w:r>
        <w:t>Feature-importance or coefficient analysis to examine model behavior.</w:t>
      </w:r>
    </w:p>
    <w:p>
      <w:pPr>
        <w:pStyle w:val="27"/>
      </w:pPr>
      <w:r>
        <w:t>What-if analysis by varying wait_days while holding a patient profile fixed.</w:t>
      </w:r>
    </w:p>
    <w:p>
      <w:pPr>
        <w:pStyle w:val="27"/>
      </w:pPr>
      <w:r>
        <w:t>High-risk cohort profiling comparing selected characteristics between high- and low-risk groups.</w:t>
      </w:r>
    </w:p>
    <w:p>
      <w:pPr>
        <w:pStyle w:val="1"/>
        <w:spacing w:before="140" w:after="80"/>
      </w:pPr>
      <w:r>
        <w:t>17. Key Findings Documented in the Notebook</w:t>
      </w:r>
    </w:p>
    <w:tbl>
      <w:tblPr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>
        <w:tc>
          <w:tcPr>
            <w:tcW w:w="5040" w:type="dxa"/>
            <w:shd w:val="clear" w:color="auto" w:fill="D9EAF7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Area</w:t>
            </w:r>
          </w:p>
        </w:tc>
        <w:tc>
          <w:tcPr>
            <w:tcW w:w="5040" w:type="dxa"/>
            <w:shd w:val="clear" w:color="auto" w:fill="D9EAF7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Documented finding</w:t>
            </w:r>
          </w:p>
        </w:tc>
      </w:tr>
      <w:tr>
        <w:tc>
          <w:tcPr>
            <w:tcW w:w="504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Dataset</w:t>
            </w:r>
          </w:p>
        </w:tc>
        <w:tc>
          <w:tcPr>
            <w:tcW w:w="504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110,527 records; overall no-show rate approximately 20%.</w:t>
            </w:r>
          </w:p>
        </w:tc>
      </w:tr>
      <w:tr>
        <w:tc>
          <w:tcPr>
            <w:tcW w:w="504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Gender</w:t>
            </w:r>
          </w:p>
        </w:tc>
        <w:tc>
          <w:tcPr>
            <w:tcW w:w="504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Approximately 65% of patients are female; the notebook describes no-show rates as similar across genders.</w:t>
            </w:r>
          </w:p>
        </w:tc>
      </w:tr>
      <w:tr>
        <w:tc>
          <w:tcPr>
            <w:tcW w:w="504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Age</w:t>
            </w:r>
          </w:p>
        </w:tc>
        <w:tc>
          <w:tcPr>
            <w:tcW w:w="504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Young adults (18–35) are documented as having the highest no-show tendency; seniors are more likely to attend.</w:t>
            </w:r>
          </w:p>
        </w:tc>
      </w:tr>
      <w:tr>
        <w:tc>
          <w:tcPr>
            <w:tcW w:w="504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Health</w:t>
            </w:r>
          </w:p>
        </w:tc>
        <w:tc>
          <w:tcPr>
            <w:tcW w:w="504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Approximately 19% hypertension, 7% diabetes and 3% alcoholism-treatment flags are documented.</w:t>
            </w:r>
          </w:p>
        </w:tc>
      </w:tr>
      <w:tr>
        <w:tc>
          <w:tcPr>
            <w:tcW w:w="504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Appointments</w:t>
            </w:r>
          </w:p>
        </w:tc>
        <w:tc>
          <w:tcPr>
            <w:tcW w:w="504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Most appointments are weekdays; Saturday volume is lower; April–June are identified as peak months.</w:t>
            </w:r>
          </w:p>
        </w:tc>
      </w:tr>
      <w:tr>
        <w:tc>
          <w:tcPr>
            <w:tcW w:w="504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Neighbourhood</w:t>
            </w:r>
          </w:p>
        </w:tc>
        <w:tc>
          <w:tcPr>
            <w:tcW w:w="504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81 unique neighbourhoods are documented.</w:t>
            </w:r>
          </w:p>
        </w:tc>
      </w:tr>
      <w:tr>
        <w:tc>
          <w:tcPr>
            <w:tcW w:w="504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Wait time</w:t>
            </w:r>
          </w:p>
        </w:tc>
        <w:tc>
          <w:tcPr>
            <w:tcW w:w="504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The notebook identifies wait days as a strong predictor and reports roughly 7% same-day no-show versus 30%+ for 30+ day waits.</w:t>
            </w:r>
          </w:p>
        </w:tc>
      </w:tr>
      <w:tr>
        <w:tc>
          <w:tcPr>
            <w:tcW w:w="504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SMS</w:t>
            </w:r>
          </w:p>
        </w:tc>
        <w:tc>
          <w:tcPr>
            <w:tcW w:w="504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A modest, nuanced difference in no-show patterns is documented for SMS versus no SMS.</w:t>
            </w:r>
          </w:p>
        </w:tc>
      </w:tr>
      <w:tr>
        <w:tc>
          <w:tcPr>
            <w:tcW w:w="504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Models</w:t>
            </w:r>
          </w:p>
        </w:tc>
        <w:tc>
          <w:tcPr>
            <w:tcW w:w="504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Gradient Boosting is documented as having the highest Test ROC-AUC among the compared models.</w:t>
            </w:r>
          </w:p>
        </w:tc>
      </w:tr>
    </w:tbl>
    <w:p/>
    <w:p>
      <w:pPr>
        <w:pStyle w:val="1"/>
        <w:spacing w:before="140" w:after="80"/>
      </w:pPr>
      <w:r>
        <w:t>18. Operational Recommendations</w:t>
      </w:r>
    </w:p>
    <w:p>
      <w:pPr>
        <w:pStyle w:val="30"/>
      </w:pPr>
      <w:r>
        <w:t>Reduce unnecessary long waiting periods where operationally possible, especially for higher-risk appointments.</w:t>
      </w:r>
    </w:p>
    <w:p>
      <w:pPr>
        <w:pStyle w:val="30"/>
      </w:pPr>
      <w:r>
        <w:t>Use reminder strategies for appointments with longer waiting periods.</w:t>
      </w:r>
    </w:p>
    <w:p>
      <w:pPr>
        <w:pStyle w:val="30"/>
      </w:pPr>
      <w:r>
        <w:t>Use model-based risk flags to identify appointments that may benefit from additional outreach.</w:t>
      </w:r>
    </w:p>
    <w:p>
      <w:pPr>
        <w:pStyle w:val="30"/>
      </w:pPr>
      <w:r>
        <w:t>Consider waitlist utilization for appointments with high predicted no-show probability, subject to hospital policy.</w:t>
      </w:r>
    </w:p>
    <w:p>
      <w:pPr>
        <w:pStyle w:val="30"/>
      </w:pPr>
      <w:r>
        <w:t>Use predictions as decision support rather than as a replacement for healthcare staff judgment.</w:t>
      </w:r>
    </w:p>
    <w:p>
      <w:pPr>
        <w:pStyle w:val="1"/>
        <w:spacing w:before="140" w:after="80"/>
      </w:pPr>
      <w:r>
        <w:t>19. Limitations</w:t>
      </w:r>
    </w:p>
    <w:p>
      <w:pPr>
        <w:pStyle w:val="30"/>
      </w:pPr>
      <w:r>
        <w:t>The dataset represents healthcare appointments from Vitória, Brazil in 2016; results may not generalize to other settings.</w:t>
      </w:r>
    </w:p>
    <w:p>
      <w:pPr>
        <w:pStyle w:val="30"/>
      </w:pPr>
      <w:r>
        <w:t>The dataset does not include patient historical attendance as a model feature.</w:t>
      </w:r>
    </w:p>
    <w:p>
      <w:pPr>
        <w:pStyle w:val="30"/>
      </w:pPr>
      <w:r>
        <w:t>The target class is imbalanced, with approximately 20% no-shows.</w:t>
      </w:r>
    </w:p>
    <w:p>
      <w:pPr>
        <w:pStyle w:val="30"/>
      </w:pPr>
      <w:r>
        <w:t>Production use must ensure features are available at prediction time.</w:t>
      </w:r>
    </w:p>
    <w:p>
      <w:pPr>
        <w:pStyle w:val="30"/>
      </w:pPr>
      <w:r>
        <w:t>The dataset does not record reasons for absence.</w:t>
      </w:r>
    </w:p>
    <w:p>
      <w:pPr>
        <w:pStyle w:val="30"/>
      </w:pPr>
      <w:r>
        <w:t>The notebook notes that neighbourhood frequency encoding should be computed from training data in production.</w:t>
      </w:r>
    </w:p>
    <w:p>
      <w:pPr>
        <w:pStyle w:val="1"/>
        <w:spacing w:before="140" w:after="80"/>
      </w:pPr>
      <w:r>
        <w:t>20. Future Scope</w:t>
      </w:r>
    </w:p>
    <w:p>
      <w:pPr>
        <w:pStyle w:val="27"/>
      </w:pPr>
      <w:r>
        <w:t>Add patient-level historical attendance features.</w:t>
      </w:r>
    </w:p>
    <w:p>
      <w:pPr>
        <w:pStyle w:val="27"/>
      </w:pPr>
      <w:r>
        <w:t>Experiment with additional tabular ML models such as XGBoost or LightGBM.</w:t>
      </w:r>
    </w:p>
    <w:p>
      <w:pPr>
        <w:pStyle w:val="27"/>
      </w:pPr>
      <w:r>
        <w:t>Add SHAP-based per-patient explanations.</w:t>
      </w:r>
    </w:p>
    <w:p>
      <w:pPr>
        <w:pStyle w:val="27"/>
      </w:pPr>
      <w:r>
        <w:t>Expose the trained model through a FastAPI endpoint.</w:t>
      </w:r>
    </w:p>
    <w:p>
      <w:pPr>
        <w:pStyle w:val="27"/>
      </w:pPr>
      <w:r>
        <w:t>Optimize the classification threshold using operational costs.</w:t>
      </w:r>
    </w:p>
    <w:p>
      <w:pPr>
        <w:pStyle w:val="27"/>
      </w:pPr>
      <w:r>
        <w:t>Explore time-series modelling of no-show rates.</w:t>
      </w:r>
    </w:p>
    <w:p>
      <w:pPr>
        <w:pStyle w:val="27"/>
      </w:pPr>
      <w:r>
        <w:t>Evaluate interventions such as calls or reminders through controlled testing.</w:t>
      </w:r>
    </w:p>
    <w:p>
      <w:pPr>
        <w:pStyle w:val="1"/>
        <w:spacing w:before="140" w:after="80"/>
      </w:pPr>
      <w:r>
        <w:t>21. Conclusion</w:t>
      </w:r>
    </w:p>
    <w:p>
      <w:r>
        <w:t>This project demonstrates a complete Data Analytics with AI workflow for healthcare appointment no-show prediction. It combines data cleaning, EDA, feature engineering, multiple classification models, evaluation, prediction, AI-assisted risk analysis, and an interactive Streamlit application. The notebook identifies wait time, age-related patterns, reminder status and welfare/health features as important areas of analysis, and documents Gradient Boosting as the highest-ROC-AUC model among the compared models. The solution is a prototype for appointment-management decision support and should be interpreted within the limitations of the source dataset.</w:t>
      </w:r>
    </w:p>
    <w:p>
      <w:pPr>
        <w:pStyle w:val="1"/>
        <w:spacing w:before="140" w:after="80"/>
      </w:pPr>
      <w:r>
        <w:t>22. References / Project Files</w:t>
      </w:r>
    </w:p>
    <w:p>
      <w:pPr>
        <w:pStyle w:val="27"/>
      </w:pPr>
      <w:r>
        <w:t>Bhavya_HospitalPatientAppointmentAnalytics.ipynb</w:t>
      </w:r>
    </w:p>
    <w:p>
      <w:pPr>
        <w:pStyle w:val="27"/>
      </w:pPr>
      <w:r>
        <w:t>healthcare_noshows.csv</w:t>
      </w:r>
    </w:p>
    <w:p>
      <w:pPr>
        <w:pStyle w:val="27"/>
      </w:pPr>
      <w:r>
        <w:t>ml_backend.py</w:t>
      </w:r>
    </w:p>
    <w:p>
      <w:pPr>
        <w:pStyle w:val="27"/>
      </w:pPr>
      <w:r>
        <w:t>app.py</w:t>
      </w:r>
    </w:p>
    <w:p>
      <w:pPr>
        <w:pStyle w:val="27"/>
      </w:pPr>
      <w:r>
        <w:t>requirements.txt</w:t>
      </w:r>
    </w:p>
    <w:p>
      <w:pPr>
        <w:pStyle w:val="27"/>
      </w:pPr>
      <w:r>
        <w:t>model_artifacts.joblib</w:t>
      </w:r>
      <w:bookmarkStart w:id="0" w:name="_GoBack"/>
      <w:bookmarkEnd w:id="0"/>
    </w:p>
    <w:sectPr>
      <w:footerReference w:type="default" r:id="rId2"/>
      <w:pgSz w:w="12240" w:h="15840"/>
      <w:pgMar w:top="936" w:right="1080" w:bottom="936" w:left="1080" w:header="720" w:footer="720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ＭＳ 明朝">
    <w:altName w:val="Droid Sans"/>
    <w:panose1 w:val="00000000000000000000"/>
    <w:charset w:val="80"/>
    <w:family w:val="roman"/>
    <w:pitch w:val="variable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Droid Sans"/>
    <w:panose1 w:val="00000000000000000000"/>
    <w:charset w:val="80"/>
    <w:family w:val="modern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ourier">
    <w:altName w:val="Courier New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16"/>
      <w:tabs>
        <w:tab w:val="center" w:pos="4680"/>
        <w:tab w:val="right" w:pos="9360"/>
      </w:tabs>
      <w:jc w:val="center"/>
    </w:pPr>
    <w:r>
      <w:rPr>
        <w:sz w:val="16"/>
      </w:rPr>
      <w:t>Bhavya • IBM SkillsBuild — Data Analytics with AI • Hospital Patient Appointment Analytics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FFFFFF89"/>
    <w:multiLevelType w:val="singleLevel"/>
    <w:tmpl w:val="29761A62"/>
    <w:lvl w:ilvl="0">
      <w:start w:val="1"/>
      <w:numFmt w:val="bullet"/>
      <w:lvlRestart w:val="0"/>
      <w:pStyle w:val="27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Restart w:val="0"/>
      <w:pStyle w:val="28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Restart w:val="0"/>
      <w:pStyle w:val="29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numFmt w:val="decimal"/>
      <w:lvlRestart w:val="0"/>
      <w:pStyle w:val="3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nsid w:val="FFFFFF7F"/>
    <w:multiLevelType w:val="singleLevel"/>
    <w:tmpl w:val="38441652"/>
    <w:lvl w:ilvl="0">
      <w:start w:val="1"/>
      <w:numFmt w:val="decimal"/>
      <w:lvlRestart w:val="0"/>
      <w:pStyle w:val="31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nsid w:val="FFFFFF7E"/>
    <w:multiLevelType w:val="singleLevel"/>
    <w:tmpl w:val="FB12693A"/>
    <w:lvl w:ilvl="0">
      <w:start w:val="1"/>
      <w:numFmt w:val="decimal"/>
      <w:lvlRestart w:val="0"/>
      <w:pStyle w:val="32"/>
      <w:lvlText w:val="%1."/>
      <w:lvlJc w:val="left"/>
      <w:pPr>
        <w:tabs>
          <w:tab w:val="num" w:pos="1080"/>
        </w:tabs>
        <w:ind w:left="10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59"/>
  <w:bordersDoNotSurroundHeader/>
  <w:bordersDoNotSurroundFooter/>
  <w:defaultTabStop w:val="720"/>
  <w:drawingGridHorizontalSpacing w:val="100"/>
  <w:drawingGridVerticalSpacing w:val="156"/>
  <w:displayHorizontalDrawingGridEvery w:val="0"/>
  <w:displayVerticalDrawingGridEvery w:val="1"/>
  <w:savePreviewPicture/>
  <w:compat>
    <w:spaceForUL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200" w:line="276" w:lineRule="auto"/>
    </w:pPr>
    <w:rPr>
      <w:rFonts w:ascii="Aptos" w:eastAsia="ＭＳ 明朝" w:cs="Arial" w:hAnsi="Aptos"/>
      <w:sz w:val="20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480" w:after="0"/>
      <w:outlineLvl w:val="0"/>
    </w:pPr>
    <w:rPr>
      <w:rFonts w:ascii="Calibri" w:eastAsia="ＭＳ ゴシック" w:cs="Times New Roman" w:hAnsi="Calibri"/>
      <w:b/>
      <w:bCs/>
      <w:color w:val="365F91"/>
      <w:sz w:val="28"/>
      <w:szCs w:val="28"/>
    </w:rPr>
  </w:style>
  <w:style w:type="paragraph" w:styleId="2">
    <w:name w:val="heading 2"/>
    <w:basedOn w:val="0"/>
    <w:next w:val="0"/>
    <w:pPr>
      <w:keepNext/>
      <w:keepLines/>
      <w:spacing w:before="200" w:after="0"/>
      <w:outlineLvl w:val="1"/>
    </w:pPr>
    <w:rPr>
      <w:rFonts w:ascii="Calibri" w:eastAsia="ＭＳ ゴシック" w:cs="Times New Roman" w:hAnsi="Calibri"/>
      <w:b/>
      <w:bCs/>
      <w:color w:val="4F81BD"/>
      <w:sz w:val="26"/>
      <w:szCs w:val="26"/>
    </w:rPr>
  </w:style>
  <w:style w:type="paragraph" w:styleId="3">
    <w:name w:val="heading 3"/>
    <w:basedOn w:val="0"/>
    <w:next w:val="0"/>
    <w:pPr>
      <w:keepNext/>
      <w:keepLines/>
      <w:spacing w:before="200" w:after="0"/>
      <w:outlineLvl w:val="2"/>
    </w:pPr>
    <w:rPr>
      <w:rFonts w:ascii="Calibri" w:eastAsia="ＭＳ ゴシック" w:cs="Times New Roman" w:hAnsi="Calibri"/>
      <w:b/>
      <w:bCs/>
      <w:color w:val="4F81BD"/>
    </w:rPr>
  </w:style>
  <w:style w:type="paragraph" w:styleId="4">
    <w:name w:val="heading 4"/>
    <w:basedOn w:val="0"/>
    <w:next w:val="0"/>
    <w:pPr>
      <w:keepNext/>
      <w:keepLines/>
      <w:spacing w:before="200" w:after="0"/>
      <w:outlineLvl w:val="3"/>
    </w:pPr>
    <w:rPr>
      <w:rFonts w:ascii="Calibri" w:eastAsia="ＭＳ ゴシック" w:cs="Times New Roman" w:hAnsi="Calibri"/>
      <w:b/>
      <w:bCs/>
      <w:i/>
      <w:iCs/>
      <w:color w:val="4F81BD"/>
    </w:rPr>
  </w:style>
  <w:style w:type="paragraph" w:styleId="5">
    <w:name w:val="heading 5"/>
    <w:basedOn w:val="0"/>
    <w:next w:val="0"/>
    <w:pPr>
      <w:keepNext/>
      <w:keepLines/>
      <w:spacing w:before="200" w:after="0"/>
      <w:outlineLvl w:val="4"/>
    </w:pPr>
    <w:rPr>
      <w:rFonts w:ascii="Calibri" w:eastAsia="ＭＳ ゴシック" w:cs="Times New Roman" w:hAnsi="Calibri"/>
      <w:color w:val="243F60"/>
    </w:rPr>
  </w:style>
  <w:style w:type="paragraph" w:styleId="6">
    <w:name w:val="heading 6"/>
    <w:basedOn w:val="0"/>
    <w:next w:val="0"/>
    <w:pPr>
      <w:keepNext/>
      <w:keepLines/>
      <w:spacing w:before="200" w:after="0"/>
      <w:outlineLvl w:val="5"/>
    </w:pPr>
    <w:rPr>
      <w:rFonts w:ascii="Calibri" w:eastAsia="ＭＳ ゴシック" w:cs="Times New Roman" w:hAnsi="Calibri"/>
      <w:i/>
      <w:iCs/>
      <w:color w:val="243F60"/>
    </w:rPr>
  </w:style>
  <w:style w:type="paragraph" w:styleId="7">
    <w:name w:val="heading 7"/>
    <w:basedOn w:val="0"/>
    <w:next w:val="0"/>
    <w:pPr>
      <w:keepNext/>
      <w:keepLines/>
      <w:spacing w:before="200" w:after="0"/>
      <w:outlineLvl w:val="6"/>
    </w:pPr>
    <w:rPr>
      <w:rFonts w:ascii="Calibri" w:eastAsia="ＭＳ ゴシック" w:cs="Times New Roman" w:hAnsi="Calibri"/>
      <w:i/>
      <w:iCs/>
      <w:color w:val="404040"/>
    </w:rPr>
  </w:style>
  <w:style w:type="paragraph" w:styleId="8">
    <w:name w:val="heading 8"/>
    <w:basedOn w:val="0"/>
    <w:next w:val="0"/>
    <w:pPr>
      <w:keepNext/>
      <w:keepLines/>
      <w:spacing w:before="200" w:after="0"/>
      <w:outlineLvl w:val="7"/>
    </w:pPr>
    <w:rPr>
      <w:rFonts w:ascii="Calibri" w:eastAsia="ＭＳ ゴシック" w:cs="Times New Roman" w:hAnsi="Calibri"/>
      <w:color w:val="4F81BD"/>
      <w:sz w:val="20"/>
      <w:szCs w:val="20"/>
    </w:rPr>
  </w:style>
  <w:style w:type="paragraph" w:styleId="9">
    <w:name w:val="heading 9"/>
    <w:basedOn w:val="0"/>
    <w:next w:val="0"/>
    <w:pPr>
      <w:keepNext/>
      <w:keepLines/>
      <w:spacing w:before="200" w:after="0"/>
      <w:outlineLvl w:val="8"/>
    </w:pPr>
    <w:rPr>
      <w:rFonts w:ascii="Calibri" w:eastAsia="ＭＳ ゴシック" w:cs="Times New Roman" w:hAnsi="Calibri"/>
      <w:i/>
      <w:iCs/>
      <w:color w:val="404040"/>
      <w:sz w:val="20"/>
      <w:szCs w:val="20"/>
    </w:rPr>
  </w:style>
  <w:style w:type="character" w:default="1" w:styleId="10">
    <w:name w:val="Default Paragraph Font"/>
  </w:style>
  <w:style w:type="paragraph" w:styleId="15">
    <w:name w:val="head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foot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17">
    <w:name w:val="No Spacing"/>
    <w:pPr>
      <w:spacing w:after="0" w:line="240" w:lineRule="auto"/>
    </w:pPr>
    <w:rPr>
      <w:rFonts w:ascii="Cambria" w:eastAsia="ＭＳ 明朝" w:cs="Arial" w:hAnsi="Cambria"/>
      <w:sz w:val="22"/>
      <w:szCs w:val="22"/>
      <w:lang w:val="en-US" w:eastAsia="en-US" w:bidi="ar-SA"/>
    </w:rPr>
  </w:style>
  <w:style w:type="paragraph" w:styleId="18">
    <w:name w:val="Title"/>
    <w:basedOn w:val="0"/>
    <w:next w:val="0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ＭＳ ゴシック" w:cs="Times New Roman" w:hAnsi="Calibri"/>
      <w:color w:val="17365D"/>
      <w:spacing w:val="5"/>
      <w:kern w:val="28"/>
      <w:sz w:val="52"/>
      <w:szCs w:val="52"/>
    </w:rPr>
  </w:style>
  <w:style w:type="paragraph" w:styleId="19">
    <w:name w:val="Subtitle"/>
    <w:basedOn w:val="0"/>
    <w:next w:val="0"/>
    <w:rPr>
      <w:rFonts w:ascii="Calibri" w:eastAsia="ＭＳ ゴシック" w:cs="Times New Roman" w:hAnsi="Calibri"/>
      <w:i/>
      <w:iCs/>
      <w:color w:val="4F81BD"/>
      <w:spacing w:val="15"/>
      <w:sz w:val="24"/>
      <w:szCs w:val="24"/>
    </w:rPr>
  </w:style>
  <w:style w:type="paragraph" w:customStyle="1" w:styleId="20">
    <w:name w:val="List Paragraph"/>
    <w:basedOn w:val="0"/>
    <w:pPr>
      <w:ind w:left="720"/>
      <w:contextualSpacing/>
    </w:pPr>
  </w:style>
  <w:style w:type="paragraph" w:styleId="21">
    <w:name w:val="Body Text"/>
    <w:basedOn w:val="0"/>
    <w:pPr>
      <w:spacing w:after="120"/>
    </w:pPr>
  </w:style>
  <w:style w:type="paragraph" w:styleId="22">
    <w:name w:val="Body Text 2"/>
    <w:basedOn w:val="0"/>
    <w:pPr>
      <w:spacing w:after="120" w:line="480" w:lineRule="auto"/>
    </w:pPr>
  </w:style>
  <w:style w:type="paragraph" w:styleId="23">
    <w:name w:val="Body Text 3"/>
    <w:basedOn w:val="0"/>
    <w:pPr>
      <w:spacing w:after="120"/>
    </w:pPr>
    <w:rPr>
      <w:sz w:val="16"/>
      <w:szCs w:val="16"/>
    </w:rPr>
  </w:style>
  <w:style w:type="paragraph" w:styleId="24">
    <w:name w:val="List"/>
    <w:basedOn w:val="0"/>
    <w:pPr>
      <w:ind w:left="360" w:hanging="360"/>
      <w:contextualSpacing/>
    </w:pPr>
  </w:style>
  <w:style w:type="paragraph" w:styleId="25">
    <w:name w:val="List 2"/>
    <w:basedOn w:val="0"/>
    <w:pPr>
      <w:ind w:left="720" w:hanging="360"/>
      <w:contextualSpacing/>
    </w:pPr>
  </w:style>
  <w:style w:type="paragraph" w:styleId="26">
    <w:name w:val="List 3"/>
    <w:basedOn w:val="0"/>
    <w:pPr>
      <w:ind w:left="1080" w:hanging="360"/>
      <w:contextualSpacing/>
    </w:pPr>
  </w:style>
  <w:style w:type="paragraph" w:styleId="27">
    <w:name w:val="List Bullet"/>
    <w:basedOn w:val="0"/>
    <w:pPr>
      <w:numPr>
        <w:ilvl w:val="0"/>
        <w:numId w:val="1"/>
      </w:numPr>
      <w:contextualSpacing/>
    </w:pPr>
  </w:style>
  <w:style w:type="paragraph" w:styleId="28">
    <w:name w:val="List Bullet 2"/>
    <w:basedOn w:val="0"/>
    <w:pPr>
      <w:numPr>
        <w:ilvl w:val="0"/>
        <w:numId w:val="2"/>
      </w:numPr>
      <w:contextualSpacing/>
    </w:pPr>
  </w:style>
  <w:style w:type="paragraph" w:styleId="29">
    <w:name w:val="List Bullet 3"/>
    <w:basedOn w:val="0"/>
    <w:pPr>
      <w:numPr>
        <w:ilvl w:val="0"/>
        <w:numId w:val="3"/>
      </w:numPr>
      <w:contextualSpacing/>
    </w:pPr>
  </w:style>
  <w:style w:type="paragraph" w:styleId="30">
    <w:name w:val="List Number"/>
    <w:basedOn w:val="0"/>
    <w:pPr>
      <w:numPr>
        <w:ilvl w:val="0"/>
        <w:numId w:val="4"/>
      </w:numPr>
      <w:contextualSpacing/>
    </w:pPr>
  </w:style>
  <w:style w:type="paragraph" w:styleId="31">
    <w:name w:val="List Number 2"/>
    <w:basedOn w:val="0"/>
    <w:pPr>
      <w:numPr>
        <w:ilvl w:val="0"/>
        <w:numId w:val="5"/>
      </w:numPr>
      <w:contextualSpacing/>
    </w:pPr>
  </w:style>
  <w:style w:type="paragraph" w:styleId="32">
    <w:name w:val="List Number 3"/>
    <w:basedOn w:val="0"/>
    <w:pPr>
      <w:numPr>
        <w:ilvl w:val="0"/>
        <w:numId w:val="6"/>
      </w:numPr>
      <w:contextualSpacing/>
    </w:pPr>
  </w:style>
  <w:style w:type="paragraph" w:styleId="33">
    <w:name w:val="List Continue"/>
    <w:basedOn w:val="0"/>
    <w:pPr>
      <w:spacing w:after="120"/>
      <w:ind w:left="360"/>
      <w:contextualSpacing/>
    </w:pPr>
  </w:style>
  <w:style w:type="paragraph" w:styleId="34">
    <w:name w:val="List Continue 2"/>
    <w:basedOn w:val="0"/>
    <w:pPr>
      <w:spacing w:after="120"/>
      <w:ind w:left="720"/>
      <w:contextualSpacing/>
    </w:pPr>
  </w:style>
  <w:style w:type="paragraph" w:styleId="35">
    <w:name w:val="List Continue 3"/>
    <w:basedOn w:val="0"/>
    <w:pPr>
      <w:spacing w:after="120"/>
      <w:ind w:left="1080"/>
      <w:contextualSpacing/>
    </w:pPr>
  </w:style>
  <w:style w:type="paragraph" w:styleId="36">
    <w:name w:val="macro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ＭＳ 明朝" w:cs="Arial" w:hAnsi="Courier"/>
      <w:sz w:val="20"/>
      <w:szCs w:val="20"/>
      <w:lang w:val="en-US" w:eastAsia="en-US" w:bidi="ar-SA"/>
    </w:rPr>
  </w:style>
  <w:style w:type="paragraph" w:customStyle="1" w:styleId="37">
    <w:name w:val="Quote"/>
    <w:basedOn w:val="0"/>
    <w:next w:val="0"/>
    <w:rPr>
      <w:i/>
      <w:iCs/>
      <w:color w:val="000000"/>
    </w:rPr>
  </w:style>
  <w:style w:type="paragraph" w:styleId="38">
    <w:name w:val="caption"/>
    <w:basedOn w:val="0"/>
    <w:next w:val="0"/>
    <w:pPr>
      <w:spacing w:line="240" w:lineRule="auto"/>
    </w:pPr>
    <w:rPr>
      <w:b/>
      <w:bCs/>
      <w:color w:val="4F81BD"/>
      <w:sz w:val="18"/>
      <w:szCs w:val="18"/>
    </w:rPr>
  </w:style>
  <w:style w:type="character" w:styleId="39">
    <w:name w:val="Strong"/>
    <w:basedOn w:val="10"/>
    <w:rPr>
      <w:b/>
      <w:bCs/>
    </w:rPr>
  </w:style>
  <w:style w:type="character" w:styleId="40">
    <w:name w:val="Emphasis"/>
    <w:basedOn w:val="10"/>
    <w:rPr>
      <w:i/>
      <w:iCs/>
    </w:rPr>
  </w:style>
  <w:style w:type="paragraph" w:customStyle="1" w:styleId="41">
    <w:name w:val="Intense Quote"/>
    <w:basedOn w:val="0"/>
    <w:next w:val="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42">
    <w:name w:val="Subtle Emphasis"/>
    <w:basedOn w:val="10"/>
    <w:rPr>
      <w:i/>
      <w:iCs/>
      <w:color w:val="808080"/>
    </w:rPr>
  </w:style>
  <w:style w:type="character" w:customStyle="1" w:styleId="43">
    <w:name w:val="Intense Emphasis"/>
    <w:basedOn w:val="10"/>
    <w:rPr>
      <w:b/>
      <w:bCs/>
      <w:i/>
      <w:iCs/>
      <w:color w:val="4F81BD"/>
    </w:rPr>
  </w:style>
  <w:style w:type="character" w:customStyle="1" w:styleId="44">
    <w:name w:val="Subtle Reference"/>
    <w:basedOn w:val="10"/>
    <w:rPr>
      <w:caps w:val="0"/>
      <w:smallCaps/>
      <w:color w:val="C0504D"/>
      <w:u w:val="single"/>
    </w:rPr>
  </w:style>
  <w:style w:type="character" w:customStyle="1" w:styleId="45">
    <w:name w:val="Intense Reference"/>
    <w:basedOn w:val="10"/>
    <w:rPr>
      <w:b/>
      <w:bCs/>
      <w:caps w:val="0"/>
      <w:smallCaps/>
      <w:color w:val="C0504D"/>
      <w:spacing w:val="5"/>
      <w:u w:val="single"/>
    </w:rPr>
  </w:style>
  <w:style w:type="character" w:customStyle="1" w:styleId="46">
    <w:name w:val="Book Title"/>
    <w:basedOn w:val="10"/>
    <w:rPr>
      <w:b/>
      <w:bCs/>
      <w:caps w:val="0"/>
      <w:smallCaps/>
      <w:spacing w:val="5"/>
    </w:rPr>
  </w:style>
  <w:style w:type="paragraph" w:customStyle="1" w:styleId="47">
    <w:name w:val="TOC Heading"/>
    <w:basedOn w:val="1"/>
    <w:next w:val="0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oter" Target="footer1.xml"/><Relationship Id="rId3" Type="http://schemas.openxmlformats.org/officeDocument/2006/relationships/image" Target="media/2.png"/><Relationship Id="rId4" Type="http://schemas.openxmlformats.org/officeDocument/2006/relationships/image" Target="media/2.png"/><Relationship Id="rId5" Type="http://schemas.openxmlformats.org/officeDocument/2006/relationships/styles" Target="styles.xml"/><Relationship Id="rId6" Type="http://schemas.openxmlformats.org/officeDocument/2006/relationships/numbering" Target="numbering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8</Pages>
  <Words>1388</Words>
  <Characters>9232</Characters>
  <Lines>271</Lines>
  <Paragraphs>221</Paragraphs>
  <CharactersWithSpaces>10404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python-docx</dc:creator>
  <dc:description>generated by python-docx</dc:description>
  <cp:lastModifiedBy>vivo user</cp:lastModifiedBy>
  <cp:revision>1</cp:revision>
  <dcterms:created xsi:type="dcterms:W3CDTF">2013-12-23T23:15:00Z</dcterms:created>
  <dcterms:modified xsi:type="dcterms:W3CDTF">2026-09-22T12:26:21Z</dcterms:modified>
</cp:coreProperties>
</file>