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</w:pPr>
      <w:r>
        <w:rPr>
          <w:rFonts w:ascii="Calibri" w:cs="Calibri" w:eastAsia="Calibri" w:hAnsi="Calibri"/>
          <w:b/>
          <w:bCs/>
          <w:color w:val="4C5F6B"/>
          <w:sz w:val="15"/>
          <w:szCs w:val="15"/>
        </w:rPr>
        <w:t xml:space="preserve">HACKOUT  ·  IDEATION ROUND  ·  THEME: RENEWABLE ENERGY INTELLIGENCE</w:t>
      </w:r>
    </w:p>
    <w:p>
      <w:pPr>
        <w:spacing w:after="20" w:before="0" w:line="400"/>
      </w:pPr>
      <w:r>
        <w:rPr>
          <w:rFonts w:ascii="Calibri" w:cs="Calibri" w:eastAsia="Calibri" w:hAnsi="Calibri"/>
          <w:b/>
          <w:bCs/>
          <w:color w:val="0D1B24"/>
          <w:sz w:val="44"/>
          <w:szCs w:val="44"/>
        </w:rPr>
        <w:t xml:space="preserve">Grid</w:t>
      </w:r>
      <w:r>
        <w:rPr>
          <w:rFonts w:ascii="Calibri" w:cs="Calibri" w:eastAsia="Calibri" w:hAnsi="Calibri"/>
          <w:b/>
          <w:bCs/>
          <w:color w:val="A35F00"/>
          <w:sz w:val="44"/>
          <w:szCs w:val="44"/>
        </w:rPr>
        <w:t xml:space="preserve">Pulse</w:t>
      </w:r>
    </w:p>
    <w:p>
      <w:pPr>
        <w:spacing w:after="90" w:before="0" w:line="264"/>
      </w:pPr>
      <w:r>
        <w:rPr>
          <w:rFonts w:ascii="Calibri" w:cs="Calibri" w:eastAsia="Calibri" w:hAnsi="Calibri"/>
          <w:color w:val="4C5F6B"/>
          <w:sz w:val="26"/>
          <w:szCs w:val="26"/>
        </w:rPr>
        <w:t xml:space="preserve">AI-Powered Renewable Generation Forecasting Platform</w:t>
      </w:r>
    </w:p>
    <w:p>
      <w:pPr>
        <w:pBdr>
          <w:bottom w:val="single" w:color="0D1B24" w:sz="10" w:space="8"/>
        </w:pBdr>
        <w:spacing w:after="130" w:before="0" w:line="264"/>
      </w:pP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Team </w:t>
      </w:r>
      <w:r>
        <w:rPr>
          <w:rFonts w:ascii="Calibri" w:cs="Calibri" w:eastAsia="Calibri" w:hAnsi="Calibri"/>
          <w:color w:val="A35F00"/>
          <w:sz w:val="16"/>
          <w:szCs w:val="16"/>
        </w:rPr>
        <w:t xml:space="preserve">[ add team name ]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Users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grid operators · utilities · plant owners · energy traders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Horizon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24–72 h, hourly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Status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working prototype</w:t>
      </w:r>
    </w:p>
    <w:p>
      <w:pPr>
        <w:spacing w:after="60" w:before="0" w:line="300"/>
      </w:pPr>
      <w:r>
        <w:rPr>
          <w:rFonts w:ascii="Calibri" w:cs="Calibri" w:eastAsia="Calibri" w:hAnsi="Calibri"/>
          <w:color w:val="0D1B24"/>
          <w:sz w:val="22"/>
          <w:szCs w:val="22"/>
        </w:rPr>
        <w:t xml:space="preserve">Every utility already receives tomorrow's weather forecast. </w:t>
      </w:r>
      <w:r>
        <w:rPr>
          <w:rFonts w:ascii="Calibri" w:cs="Calibri" w:eastAsia="Calibri" w:hAnsi="Calibri"/>
          <w:color w:val="A35F00"/>
          <w:sz w:val="22"/>
          <w:szCs w:val="22"/>
        </w:rPr>
        <w:t xml:space="preserve">Nothing turns it into tomorrow's power, hour by hour, per site — then flags the hours that breach that site's limits and states the action. </w:t>
      </w:r>
      <w:r>
        <w:rPr>
          <w:rFonts w:ascii="Calibri" w:cs="Calibri" w:eastAsia="Calibri" w:hAnsi="Calibri"/>
          <w:color w:val="0D1B24"/>
          <w:sz w:val="22"/>
          <w:szCs w:val="22"/>
        </w:rPr>
        <w:t xml:space="preserve">GridPulse is that missing conversion layer.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Problem Statement</w:t>
      </w:r>
    </w:p>
    <w:p>
      <w:pPr>
        <w:spacing w:after="100" w:before="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Solar and wind output swings constantly with weather, time of day and season. Grid operators must commit capacity, schedule backup and respect grid connection limits hours ahead — every one of those decisions made on a forecast. When the forecast is weak, the cost lands in three places: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Wasted clean energy.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Surplus that could have been stored or sold is curtailed, because nobody saw it early enough to place it.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Unnecessary fossil backup.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Reserve plant is held spinning against uncertainty rather than against a known shortfall.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Unsized financial exposure.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A plant that sold power day-ahead cannot tell, in advance, which hours it will fail to deliver.</w:t>
      </w:r>
    </w:p>
    <w:p>
      <w:pPr>
        <w:spacing w:after="60" w:before="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The gap is not data — it is the conversion. Weather forecasts are public and free. What no one hands an operator is: </w:t>
      </w:r>
      <w:r>
        <w:rPr>
          <w:rFonts w:ascii="Calibri" w:cs="Calibri" w:eastAsia="Calibri" w:hAnsi="Calibri"/>
          <w:i/>
          <w:iCs/>
          <w:color w:val="0D1B24"/>
          <w:sz w:val="20"/>
          <w:szCs w:val="20"/>
        </w:rPr>
        <w:t xml:space="preserve">this site will make 100.6 MW at 07:00, which is 106% of your substation limit, so curtail 5.6 MW.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Proposed Solution</w:t>
      </w:r>
    </w:p>
    <w:p>
      <w:pPr>
        <w:spacing w:after="10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GridPulse is an intelligence platform that ingests weather forecasts, historical generation records and site-level parameters, and returns a 24–72 hour generation forecast, flagged risk windows, and an explained grid action for each one.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Forecast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hourly predicted output per site with an 80% confidence band, derived from the same numerical weather prediction a utility already receives.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Flag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over-generation, under-generation and ramp windows, measured against that site's real operating limits rather than a generic percentage of nameplate.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Recommend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curtailment, storage charge or dispatch, backup activation or spinning reserve, each carrying a reason sentence assembled from the numbers behind it.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Exactly one component is learned.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The weather-to-power conversion is machine learning, because that relationship is non-linear and worth fitting. Everything after it is deterministic arithmetic an operator can audit line by line — because nobody curtails 100 MW on the grounds that a model said so.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Approach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4"/>
        <w:gridCol w:w="501"/>
        <w:gridCol w:w="2034"/>
        <w:gridCol w:w="501"/>
        <w:gridCol w:w="2034"/>
        <w:gridCol w:w="501"/>
        <w:gridCol w:w="2034"/>
      </w:tblGrid>
      <w:tr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Weather feed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Open-Meteo NWP,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public, no API key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irradiance, wind,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cloud, temperature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BF3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9"/>
                <w:szCs w:val="19"/>
              </w:rPr>
              <w:t xml:space="preserve">Generation model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XGBoost,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one per technology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MW per hour, 72 h,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with p10–p90 band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Risk rules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over · under · ramp,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vs. site limits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flagged windows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and limit crossed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Grid action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curtail · store ·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backup · reserve</w:t>
            </w:r>
          </w:p>
        </w:tc>
      </w:tr>
    </w:tbl>
    <w:p>
      <w:pPr>
        <w:spacing w:after="110" w:before="70" w:line="264"/>
      </w:pPr>
      <w:r>
        <w:rPr>
          <w:rFonts w:ascii="Calibri" w:cs="Calibri" w:eastAsia="Calibri" w:hAnsi="Calibri"/>
          <w:color w:val="4C5F6B"/>
          <w:sz w:val="16"/>
          <w:szCs w:val="16"/>
        </w:rPr>
        <w:t xml:space="preserve">The pipeline. One learned component converts weather into power; every decision after it is a comparison between two numbers the dashboard also puts on screen.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Forecast weather, then convert it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rather than predicting power directly. This is how renewable forecasting genuinely works in industry, and it means a site with no operating history is forecastable from its coordinates alone.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Build the training history from physics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no utility hands out SCADA data during a hackathon, and random numbers teach a model nothing. We replay 15 months of real ERA5 reanalysis weather per site through first-order generation physics — a PV performance-ratio model (PR 0.78, −0.4%/°C above 25 °C) and a four-region turbine power curve (cut-in 3.5, rated 12.5, cut-out 25 m/s) — plus 6% stochastic noise. That yields 65,808 weather-correlated site-hours carrying the diurnal cycle, seasonal swing, cloud events and storm shutdowns a model needs to learn. Swapping in real SCADA is a file change, not a redesign.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Predict capacity factor, not kilowatts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so one model per technology serves a 10 MW rooftop and a 240 MW offshore array alike, error reads directly as a percentage of capacity, and adding a new site requires no retraining.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Run the horizon recursively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lagged generation is real signal and we do not know next Tuesday's output, so each predicted hour feeds the next as its lag. Confidence bands come from held-out residuals bucketed by predicted output, widened with lead time.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Prove it honestly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a chronological holdout — never shuffled, which would let the model see 13:00 and 15:00 while predicting 14:00 — scored against the persistence baseline a control room actually falls back on, plus a rolling day-ahead backtest in which the model is rewound each morning and never shown the answers.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Validation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Metric (held-out data, never seen in training)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Solar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Wind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Mean absolute error, % of nameplate capacity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8"/>
                <w:szCs w:val="18"/>
              </w:rPr>
              <w:t xml:space="preserve">0.97%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1.43%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Root mean squared error, % of capacity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1.92%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2.28%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R²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0.9931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0.9932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Persistence baseline MAE (what a control room does without a model)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5.24%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5.94%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Improvement over that baseline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8"/>
                <w:szCs w:val="18"/>
              </w:rPr>
              <w:t xml:space="preserve">81.4%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75.9%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Held-out hours scored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6,579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6,579</w:t>
            </w:r>
          </w:p>
        </w:tc>
      </w:tr>
    </w:tbl>
    <w:p>
      <w:pPr>
        <w:spacing w:after="80" w:before="70" w:line="264"/>
      </w:pPr>
      <w:r>
        <w:rPr>
          <w:rFonts w:ascii="Calibri" w:cs="Calibri" w:eastAsia="Calibri" w:hAnsi="Calibri"/>
          <w:b/>
          <w:bCs/>
          <w:color w:val="0D1B24"/>
          <w:sz w:val="16"/>
          <w:szCs w:val="16"/>
        </w:rPr>
        <w:t xml:space="preserve">How to read these numbers.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R² is 0.993 for both models because the training targets come from a physics model plus noise, so the mapping being learned genuinely exists in the data. Against real SCADA, day-ahead solar forecasts typically land nearer 4–8% MAE — real plants also have outages, soiling and curtailment no weather feed predicts. Read these as evidence the model has correctly learned the weather-to-power relationship. The figure that transfers is the persistence comparison.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4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Key Features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Portfolio view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World map with a pin per site, colour-coded by current alert status.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KPIs: capacity online, generating now, forecast for the next 24 h, sites needing action, and how much of the at-risk curtailment on-site storage can actually absorb.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A cross-portfolio action queue ranked by urgency, so one screen covers the whole estate.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Site detail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72-hour forecast chart with a shaded confidence band, recorded output stitched to the forecast across a NOW marker, and each flagged risk window shaded on the chart itself rather than listed separately.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Operating limits drawn as reference lines — export limit, over-generation trigger, under-generation floor — so a breach is visible, not inferred.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A “yesterday's forecast vs actual” panel scored in MAE, RMSE and R², plus the weather driving the prediction: irradiance, cloud cover, hub-height wind and temperature.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Flagging that reflects real constraints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Over-generation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above 85% of the site's grid export limit. A plant that can make 180 MW behind a 95 MW substation is over-generating at 81 MW, whatever headroom the panels still have. Connection limits cause most real curtailment.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Under-generation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below the greater of 15% of capacity and the site's firm delivery schedule. A plant that sold 45 MW day-ahead is short at 30 MW even though 30 MW is healthy output. That is the number a trader is exposed on.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Ramp events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swings past 25% of capacity in an hour, merged into single events so a front crossing a wind farm is one thing to schedule against, not four separate alerts.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Recommendations that explain themselves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Storage handling is quantitative, not a lookup: the engine sizes the surplus against real battery headroom, tracks state of charge forward through the horizon, and where the battery covers only part of the surplus recommends both actions — charge what fits, curtail the rest.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Every sentence is assembled from live figures, so the wording moves with the forecast. Nothing in the interface is hardcoded demo text.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0" w:line="250"/>
            </w:pPr>
            <w:r>
              <w:rPr>
                <w:rFonts w:ascii="Consolas" w:cs="Consolas" w:eastAsia="Consolas" w:hAnsi="Consolas"/>
                <w:color w:val="0D1B24"/>
                <w:sz w:val="17"/>
                <w:szCs w:val="17"/>
              </w:rPr>
              <w:t xml:space="preserve">“Forecast peaks at 100.6 MW across 4h (06:00–09:00 UTC on 13 Sep), 106% of the 95.0 MW substation export limit. The 60 MWh battery is already at 100% and has no headroom left, leaving 9.2 MWh with nowhere to go — issue a curtailment instruction capped at 95.0 MW export, trimming up to 5.6 MW at the peak hour.”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color w:val="7A8B97"/>
                <w:sz w:val="14"/>
                <w:szCs w:val="14"/>
              </w:rPr>
              <w:t xml:space="preserve">VERBATIM FROM  GET /api/sites/{id}/recommendations</w:t>
            </w:r>
          </w:p>
        </w:tc>
      </w:tr>
    </w:tbl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5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Technology and Implementation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Backend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Python · FastAPI · SQLAlchemy + SQLite · pandas · APScheduler for scheduled forecast refresh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Machine learning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XGBoost gradient-boosted regressors, one per technology · scikit-learn for metrics · 20 engineered features per hour, including cyclical time encoding, NOAA solar geometry, clear-sky index, wind shear and generation lags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Frontend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Next.js 15 · TypeScript · Tailwind CSS · Recharts · react-leaflet · Framer Motion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Open-Meteo forecast API and ERA5 reanalysis archive API — free, keyless, no signup, no rate-limit management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Serving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9 REST endpoints; each site's forecast computed once and cached, refreshed on a schedule and warmed at startup, so the dashboard answers in 10–40 ms</w:t>
            </w:r>
          </w:p>
        </w:tc>
      </w:tr>
    </w:tbl>
    <w:p>
      <w:pPr>
        <w:spacing w:after="120" w:before="8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No paid APIs and no service requiring a credit card or an approval wait. The whole system runs from a clean clone with documented install commands and an empty .env file.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Build sequence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6288"/>
        <w:gridCol w:w="1600"/>
      </w:tblGrid>
      <w:tr>
        <w:trPr>
          <w:tblHeader/>
        </w:trP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Stage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Deliverable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Data layer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Open-Meteo client, PV and turbine physics, 15-month historical dataset builder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ML pipeline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Feature engineering shared by training and serving, chronological training, metrics written to file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API + rules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Sites, weather, forecast, backtest, alerts, recommendations, portfolio summary; flagging and recommendation engines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Dashboard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Portfolio map and KPIs, site detail view, backtest panel, model report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Next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Quantile regression for calibrated p10/p50/p90 bands; multi-model NWP ensemble, using cross-model spread as its own uncertainty signal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Then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SCADA ingestion replacing the synthetic history; Postgres + TimescaleDB at fleet scale; price-aware curtailment economics; scheduled retraining with drift monitoring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Later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Write-back into the dispatch system behind an operator sign-off step, so a recommendation becomes an instruction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</w:tbl>
    <w:p>
      <w:pPr>
        <w:spacing w:after="0" w:before="90" w:line="264"/>
      </w:pPr>
      <w:r>
        <w:rPr>
          <w:rFonts w:ascii="Calibri" w:cs="Calibri" w:eastAsia="Calibri" w:hAnsi="Calibri"/>
          <w:b/>
          <w:bCs/>
          <w:color w:val="0D1B24"/>
          <w:sz w:val="17"/>
          <w:szCs w:val="17"/>
        </w:rPr>
        <w:t xml:space="preserve">Prototype already running. </w:t>
      </w:r>
      <w:r>
        <w:rPr>
          <w:rFonts w:ascii="Calibri" w:cs="Calibri" w:eastAsia="Calibri" w:hAnsi="Calibri"/>
          <w:color w:val="4C5F6B"/>
          <w:sz w:val="17"/>
          <w:szCs w:val="17"/>
        </w:rPr>
        <w:t xml:space="preserve">Six real sites totalling 892 MW across four continents — three solar, three wind — forecasting on live weather, with the flagging and recommendation engines operating end to end. The architecture above is not drawn on paper; each remaining row is a swap behind an interface that already exists.</w:t>
      </w:r>
    </w:p>
    <w:sectPr>
      <w:pgSz w:w="11906" w:h="16838" w:orient="portrait"/>
      <w:pgMar w:top="1134" w:right="1134" w:bottom="102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D1B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GridPulse — Ideation Round Report</dc:title>
  <dc:creator>GridPulse</dc:creator>
  <dc:description>AI-Powered Renewable Generation Forecasting Platform</dc:description>
  <cp:lastModifiedBy>Un-named</cp:lastModifiedBy>
  <cp:revision>1</cp:revision>
  <dcterms:created xsi:type="dcterms:W3CDTF">2026-09-12T08:46:28.087Z</dcterms:created>
  <dcterms:modified xsi:type="dcterms:W3CDTF">2026-09-12T08:46:28.096Z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