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4C5F6B"/>
          <w:sz w:val="15"/>
          <w:szCs w:val="15"/>
        </w:rPr>
        <w:t xml:space="preserve">HACOUT  ·  IDEATION ROUND  ·  THEME: RENEWABLE ENERGY INTELLIGENCE</w:t>
      </w:r>
    </w:p>
    <w:p>
      <w:pPr>
        <w:spacing w:after="20" w:before="0" w:line="400"/>
      </w:pPr>
      <w:r>
        <w:rPr>
          <w:rFonts w:ascii="Calibri" w:cs="Calibri" w:eastAsia="Calibri" w:hAnsi="Calibri"/>
          <w:b/>
          <w:bCs/>
          <w:color w:val="0D1B24"/>
          <w:sz w:val="44"/>
          <w:szCs w:val="44"/>
        </w:rPr>
        <w:t xml:space="preserve">Grid</w:t>
      </w:r>
      <w:r>
        <w:rPr>
          <w:rFonts w:ascii="Calibri" w:cs="Calibri" w:eastAsia="Calibri" w:hAnsi="Calibri"/>
          <w:b/>
          <w:bCs/>
          <w:color w:val="A35F00"/>
          <w:sz w:val="44"/>
          <w:szCs w:val="44"/>
        </w:rPr>
        <w:t xml:space="preserve">Pulse</w:t>
      </w:r>
    </w:p>
    <w:p>
      <w:pPr>
        <w:spacing w:after="90" w:before="0" w:line="264"/>
      </w:pPr>
      <w:r>
        <w:rPr>
          <w:rFonts w:ascii="Calibri" w:cs="Calibri" w:eastAsia="Calibri" w:hAnsi="Calibri"/>
          <w:color w:val="4C5F6B"/>
          <w:sz w:val="26"/>
          <w:szCs w:val="26"/>
        </w:rPr>
        <w:t xml:space="preserve">AI-Powered Renewable Generation Forecasting Platform</w:t>
      </w:r>
    </w:p>
    <w:p>
      <w:pPr>
        <w:pBdr>
          <w:bottom w:val="single" w:color="0D1B24" w:sz="10" w:space="8"/>
        </w:pBdr>
        <w:spacing w:after="130" w:before="0" w:line="264"/>
      </w:pPr>
      <w:r>
        <w:rPr>
          <w:rFonts w:ascii="Calibri" w:cs="Calibri" w:eastAsia="Calibri" w:hAnsi="Calibri"/>
          <w:b/>
          <w:bCs/>
          <w:color w:val="7A8B97"/>
          <w:sz w:val="16"/>
          <w:szCs w:val="16"/>
        </w:rPr>
        <w:t xml:space="preserve">Team </w:t>
      </w:r>
      <w:r>
        <w:rPr>
          <w:rFonts w:ascii="Calibri" w:cs="Calibri" w:eastAsia="Calibri" w:hAnsi="Calibri"/>
          <w:color w:val="A35F00"/>
          <w:sz w:val="16"/>
          <w:szCs w:val="16"/>
        </w:rPr>
        <w:t xml:space="preserve">[ add team name ]   </w:t>
      </w:r>
      <w:r>
        <w:rPr>
          <w:rFonts w:ascii="Calibri" w:cs="Calibri" w:eastAsia="Calibri" w:hAnsi="Calibri"/>
          <w:b/>
          <w:bCs/>
          <w:color w:val="7A8B97"/>
          <w:sz w:val="16"/>
          <w:szCs w:val="16"/>
        </w:rPr>
        <w:t xml:space="preserve">Users </w:t>
      </w:r>
      <w:r>
        <w:rPr>
          <w:rFonts w:ascii="Calibri" w:cs="Calibri" w:eastAsia="Calibri" w:hAnsi="Calibri"/>
          <w:color w:val="4C5F6B"/>
          <w:sz w:val="16"/>
          <w:szCs w:val="16"/>
        </w:rPr>
        <w:t xml:space="preserve">grid operators · utilities · plant owners · energy traders   </w:t>
      </w:r>
      <w:r>
        <w:rPr>
          <w:rFonts w:ascii="Calibri" w:cs="Calibri" w:eastAsia="Calibri" w:hAnsi="Calibri"/>
          <w:b/>
          <w:bCs/>
          <w:color w:val="7A8B97"/>
          <w:sz w:val="16"/>
          <w:szCs w:val="16"/>
        </w:rPr>
        <w:t xml:space="preserve">Horizon </w:t>
      </w:r>
      <w:r>
        <w:rPr>
          <w:rFonts w:ascii="Calibri" w:cs="Calibri" w:eastAsia="Calibri" w:hAnsi="Calibri"/>
          <w:color w:val="4C5F6B"/>
          <w:sz w:val="16"/>
          <w:szCs w:val="16"/>
        </w:rPr>
        <w:t xml:space="preserve">24–72 h, hourly   </w:t>
      </w:r>
      <w:r>
        <w:rPr>
          <w:rFonts w:ascii="Calibri" w:cs="Calibri" w:eastAsia="Calibri" w:hAnsi="Calibri"/>
          <w:b/>
          <w:bCs/>
          <w:color w:val="7A8B97"/>
          <w:sz w:val="16"/>
          <w:szCs w:val="16"/>
        </w:rPr>
        <w:t xml:space="preserve">Status </w:t>
      </w:r>
      <w:r>
        <w:rPr>
          <w:rFonts w:ascii="Calibri" w:cs="Calibri" w:eastAsia="Calibri" w:hAnsi="Calibri"/>
          <w:color w:val="4C5F6B"/>
          <w:sz w:val="16"/>
          <w:szCs w:val="16"/>
        </w:rPr>
        <w:t xml:space="preserve">working prototype</w:t>
      </w:r>
    </w:p>
    <w:p>
      <w:pPr>
        <w:spacing w:after="60" w:before="0" w:line="300"/>
      </w:pPr>
      <w:r>
        <w:rPr>
          <w:rFonts w:ascii="Calibri" w:cs="Calibri" w:eastAsia="Calibri" w:hAnsi="Calibri"/>
          <w:color w:val="0D1B24"/>
          <w:sz w:val="22"/>
          <w:szCs w:val="22"/>
        </w:rPr>
        <w:t xml:space="preserve">Every utility already receives tomorrow's weather forecast. </w:t>
      </w:r>
      <w:r>
        <w:rPr>
          <w:rFonts w:ascii="Calibri" w:cs="Calibri" w:eastAsia="Calibri" w:hAnsi="Calibri"/>
          <w:color w:val="A35F00"/>
          <w:sz w:val="22"/>
          <w:szCs w:val="22"/>
        </w:rPr>
        <w:t xml:space="preserve">Nothing turns it into tomorrow's power, hour by hour, per site — then flags the hours that breach that site's limits and states the action. </w:t>
      </w:r>
      <w:r>
        <w:rPr>
          <w:rFonts w:ascii="Calibri" w:cs="Calibri" w:eastAsia="Calibri" w:hAnsi="Calibri"/>
          <w:color w:val="0D1B24"/>
          <w:sz w:val="22"/>
          <w:szCs w:val="22"/>
        </w:rPr>
        <w:t xml:space="preserve">GridPulse is that missing conversion layer.</w:t>
      </w:r>
    </w:p>
    <w:p>
      <w:pPr>
        <w:pStyle w:val="Heading1"/>
        <w:keepNext/>
        <w:spacing w:after="110" w:before="260"/>
      </w:pPr>
      <w:r>
        <w:rPr>
          <w:rFonts w:ascii="Calibri" w:cs="Calibri" w:eastAsia="Calibri" w:hAnsi="Calibri"/>
          <w:b/>
          <w:bCs/>
          <w:color w:val="A35F00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0D1B24"/>
          <w:sz w:val="26"/>
          <w:szCs w:val="26"/>
        </w:rPr>
        <w:t xml:space="preserve">Problem Statement</w:t>
      </w:r>
    </w:p>
    <w:p>
      <w:pPr>
        <w:spacing w:after="100" w:before="0" w:line="264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Solar and wind output swings constantly with weather, time of day and season. Grid operators must commit capacity, schedule backup and respect grid connection limits hours ahead — every one of those decisions made on a forecast. When the forecast is weak, the cost lands in three places: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Wasted clean energy.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Surplus that could have been stored or sold is curtailed, because nobody saw it early enough to place it.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Unnecessary fossil backup.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Reserve plant is held spinning against uncertainty rather than against a known shortfall.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Unsized financial exposure.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A plant that sold power day-ahead cannot tell, in advance, which hours it will fail to deliver.</w:t>
      </w:r>
    </w:p>
    <w:p>
      <w:pPr>
        <w:spacing w:after="60" w:before="0" w:line="264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The gap is not data — it is the conversion. Weather forecasts are public and free. What no one hands an operator is: </w:t>
      </w:r>
      <w:r>
        <w:rPr>
          <w:rFonts w:ascii="Calibri" w:cs="Calibri" w:eastAsia="Calibri" w:hAnsi="Calibri"/>
          <w:i/>
          <w:iCs/>
          <w:color w:val="0D1B24"/>
          <w:sz w:val="20"/>
          <w:szCs w:val="20"/>
        </w:rPr>
        <w:t xml:space="preserve">this site will make 100.6 MW at 07:00, which is 106% of your substation limit, so curtail 5.6 MW.</w:t>
      </w:r>
    </w:p>
    <w:p>
      <w:pPr>
        <w:pStyle w:val="Heading1"/>
        <w:keepNext/>
        <w:spacing w:after="110" w:before="260"/>
      </w:pPr>
      <w:r>
        <w:rPr>
          <w:rFonts w:ascii="Calibri" w:cs="Calibri" w:eastAsia="Calibri" w:hAnsi="Calibri"/>
          <w:b/>
          <w:bCs/>
          <w:color w:val="A35F00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0D1B24"/>
          <w:sz w:val="26"/>
          <w:szCs w:val="26"/>
        </w:rPr>
        <w:t xml:space="preserve">Proposed Solution</w:t>
      </w:r>
    </w:p>
    <w:p>
      <w:pPr>
        <w:spacing w:after="100" w:before="0" w:line="264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GridPulse is an intelligence platform that ingests weather forecasts, historical generation records and site-level parameters, and returns a 24–72 hour generation forecast, flagged risk windows, and an explained grid action for each one.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A35F00"/>
          <w:sz w:val="20"/>
          <w:szCs w:val="20"/>
        </w:rPr>
        <w:t xml:space="preserve">Forecast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— hourly predicted output per site with an 80% confidence band, derived from the same numerical weather prediction a utility already receives.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A35F00"/>
          <w:sz w:val="20"/>
          <w:szCs w:val="20"/>
        </w:rPr>
        <w:t xml:space="preserve">Flag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— over-generation, under-generation and ramp windows, measured against that site's real operating limits rather than a generic percentage of nameplate.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A35F00"/>
          <w:sz w:val="20"/>
          <w:szCs w:val="20"/>
        </w:rPr>
        <w:t xml:space="preserve">Recommend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— curtailment, storage charge or dispatch, backup activation or spinning reserve, each carrying a reason sentence assembled from the numbers behind it.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Exactly one component is learned.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The weather-to-power conversion is machine learning, because that relationship is non-linear and worth fitting. Everything after it is deterministic arithmetic an operator can audit line by line — because nobody curtails 100 MW on the grounds that a model said so.</w:t>
      </w:r>
    </w:p>
    <w:p>
      <w:pPr>
        <w:pStyle w:val="Heading1"/>
        <w:keepNext/>
        <w:spacing w:after="110" w:before="260"/>
      </w:pPr>
      <w:r>
        <w:rPr>
          <w:rFonts w:ascii="Calibri" w:cs="Calibri" w:eastAsia="Calibri" w:hAnsi="Calibri"/>
          <w:b/>
          <w:bCs/>
          <w:color w:val="A35F00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0D1B24"/>
          <w:sz w:val="26"/>
          <w:szCs w:val="26"/>
        </w:rPr>
        <w:t xml:space="preserve">Approach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4"/>
        <w:gridCol w:w="501"/>
        <w:gridCol w:w="2034"/>
        <w:gridCol w:w="501"/>
        <w:gridCol w:w="2034"/>
        <w:gridCol w:w="501"/>
        <w:gridCol w:w="2034"/>
      </w:tblGrid>
      <w:tr>
        <w:tc>
          <w:tcPr>
            <w:tcW w:type="dxa" w:w="2034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9"/>
                <w:szCs w:val="19"/>
              </w:rPr>
              <w:t xml:space="preserve">Weather feed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Open-Meteo NWP,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public, no API key</w:t>
            </w:r>
          </w:p>
        </w:tc>
        <w:tc>
          <w:tcPr>
            <w:tcW w:type="dxa" w:w="501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color w:val="4C5F6B"/>
                <w:sz w:val="22"/>
                <w:szCs w:val="22"/>
              </w:rPr>
              <w:t xml:space="preserve">→</w:t>
            </w:r>
          </w:p>
          <w:p>
            <w:pPr>
              <w:spacing w:after="0" w:before="0" w:line="190"/>
              <w:jc w:val="center"/>
            </w:pPr>
            <w:r>
              <w:rPr>
                <w:rFonts w:ascii="Calibri" w:cs="Calibri" w:eastAsia="Calibri" w:hAnsi="Calibri"/>
                <w:color w:val="7A8B97"/>
                <w:sz w:val="13"/>
                <w:szCs w:val="13"/>
              </w:rPr>
              <w:t xml:space="preserve">irradiance, wind,</w:t>
            </w:r>
          </w:p>
          <w:p>
            <w:pPr>
              <w:spacing w:after="0" w:before="0" w:line="190"/>
              <w:jc w:val="center"/>
            </w:pPr>
            <w:r>
              <w:rPr>
                <w:rFonts w:ascii="Calibri" w:cs="Calibri" w:eastAsia="Calibri" w:hAnsi="Calibri"/>
                <w:color w:val="7A8B97"/>
                <w:sz w:val="13"/>
                <w:szCs w:val="13"/>
              </w:rPr>
              <w:t xml:space="preserve">cloud, temperature</w:t>
            </w:r>
          </w:p>
        </w:tc>
        <w:tc>
          <w:tcPr>
            <w:tcW w:type="dxa" w:w="2034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BF3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35F00"/>
                <w:sz w:val="19"/>
                <w:szCs w:val="19"/>
              </w:rPr>
              <w:t xml:space="preserve">Generation model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XGBoost,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one per technology</w:t>
            </w:r>
          </w:p>
        </w:tc>
        <w:tc>
          <w:tcPr>
            <w:tcW w:type="dxa" w:w="501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color w:val="4C5F6B"/>
                <w:sz w:val="22"/>
                <w:szCs w:val="22"/>
              </w:rPr>
              <w:t xml:space="preserve">→</w:t>
            </w:r>
          </w:p>
          <w:p>
            <w:pPr>
              <w:spacing w:after="0" w:before="0" w:line="190"/>
              <w:jc w:val="center"/>
            </w:pPr>
            <w:r>
              <w:rPr>
                <w:rFonts w:ascii="Calibri" w:cs="Calibri" w:eastAsia="Calibri" w:hAnsi="Calibri"/>
                <w:color w:val="7A8B97"/>
                <w:sz w:val="13"/>
                <w:szCs w:val="13"/>
              </w:rPr>
              <w:t xml:space="preserve">MW per hour, 72 h,</w:t>
            </w:r>
          </w:p>
          <w:p>
            <w:pPr>
              <w:spacing w:after="0" w:before="0" w:line="190"/>
              <w:jc w:val="center"/>
            </w:pPr>
            <w:r>
              <w:rPr>
                <w:rFonts w:ascii="Calibri" w:cs="Calibri" w:eastAsia="Calibri" w:hAnsi="Calibri"/>
                <w:color w:val="7A8B97"/>
                <w:sz w:val="13"/>
                <w:szCs w:val="13"/>
              </w:rPr>
              <w:t xml:space="preserve">with p10–p90 band</w:t>
            </w:r>
          </w:p>
        </w:tc>
        <w:tc>
          <w:tcPr>
            <w:tcW w:type="dxa" w:w="2034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9"/>
                <w:szCs w:val="19"/>
              </w:rPr>
              <w:t xml:space="preserve">Risk rules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over · under · ramp,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vs. site limits</w:t>
            </w:r>
          </w:p>
        </w:tc>
        <w:tc>
          <w:tcPr>
            <w:tcW w:type="dxa" w:w="501"/>
            <w:tcBorders>
              <w:top w:val="none"/>
              <w:left w:val="none"/>
              <w:bottom w:val="none"/>
              <w:right w:val="none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0" w:line="264"/>
              <w:jc w:val="center"/>
            </w:pPr>
            <w:r>
              <w:rPr>
                <w:rFonts w:ascii="Calibri" w:cs="Calibri" w:eastAsia="Calibri" w:hAnsi="Calibri"/>
                <w:color w:val="4C5F6B"/>
                <w:sz w:val="22"/>
                <w:szCs w:val="22"/>
              </w:rPr>
              <w:t xml:space="preserve">→</w:t>
            </w:r>
          </w:p>
          <w:p>
            <w:pPr>
              <w:spacing w:after="0" w:before="0" w:line="190"/>
              <w:jc w:val="center"/>
            </w:pPr>
            <w:r>
              <w:rPr>
                <w:rFonts w:ascii="Calibri" w:cs="Calibri" w:eastAsia="Calibri" w:hAnsi="Calibri"/>
                <w:color w:val="7A8B97"/>
                <w:sz w:val="13"/>
                <w:szCs w:val="13"/>
              </w:rPr>
              <w:t xml:space="preserve">flagged windows</w:t>
            </w:r>
          </w:p>
          <w:p>
            <w:pPr>
              <w:spacing w:after="0" w:before="0" w:line="190"/>
              <w:jc w:val="center"/>
            </w:pPr>
            <w:r>
              <w:rPr>
                <w:rFonts w:ascii="Calibri" w:cs="Calibri" w:eastAsia="Calibri" w:hAnsi="Calibri"/>
                <w:color w:val="7A8B97"/>
                <w:sz w:val="13"/>
                <w:szCs w:val="13"/>
              </w:rPr>
              <w:t xml:space="preserve">and limit crossed</w:t>
            </w:r>
          </w:p>
        </w:tc>
        <w:tc>
          <w:tcPr>
            <w:tcW w:type="dxa" w:w="2034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9"/>
                <w:szCs w:val="19"/>
              </w:rPr>
              <w:t xml:space="preserve">Grid action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curtail · store ·</w:t>
            </w:r>
          </w:p>
          <w:p>
            <w:pPr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color w:val="4C5F6B"/>
                <w:sz w:val="15"/>
                <w:szCs w:val="15"/>
              </w:rPr>
              <w:t xml:space="preserve">backup · reserve</w:t>
            </w:r>
          </w:p>
        </w:tc>
      </w:tr>
    </w:tbl>
    <w:p>
      <w:pPr>
        <w:spacing w:after="110" w:before="70" w:line="264"/>
      </w:pPr>
      <w:r>
        <w:rPr>
          <w:rFonts w:ascii="Calibri" w:cs="Calibri" w:eastAsia="Calibri" w:hAnsi="Calibri"/>
          <w:color w:val="4C5F6B"/>
          <w:sz w:val="16"/>
          <w:szCs w:val="16"/>
        </w:rPr>
        <w:t xml:space="preserve">The pipeline. One learned component converts weather into power; every decision after it is a comparison between two numbers the dashboard also puts on screen.</w:t>
      </w:r>
    </w:p>
    <w:p>
      <w:pPr>
        <w:spacing w:after="70" w:before="0" w:line="264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Forecast weather, then convert it —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rather than predicting power directly. This is how renewable forecasting genuinely works in industry, and it means a site with no operating history is forecastable from its coordinates alone.</w:t>
      </w:r>
    </w:p>
    <w:p>
      <w:pPr>
        <w:spacing w:after="70" w:before="0" w:line="264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Build the training history from physics —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no utility hands out SCADA data during a hackathon, and random numbers teach a model nothing. We replay 15 months of real ERA5 reanalysis weather per site through first-order generation physics — a PV performance-ratio model (PR 0.78, −0.4%/°C above 25 °C) and a four-region turbine power curve (cut-in 3.5, rated 12.5, cut-out 25 m/s) — plus 6% stochastic noise. That yields 65,808 weather-correlated site-hours carrying the diurnal cycle, seasonal swing, cloud events and storm shutdowns a model needs to learn. Swapping in real SCADA is a file change, not a redesign.</w:t>
      </w:r>
    </w:p>
    <w:p>
      <w:pPr>
        <w:spacing w:after="70" w:before="0" w:line="264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Predict capacity factor, not kilowatts —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so one model per technology serves a 10 MW rooftop and a 240 MW offshore array alike, error reads directly as a percentage of capacity, and adding a new site requires no retraining.</w:t>
      </w:r>
    </w:p>
    <w:p>
      <w:pPr>
        <w:spacing w:after="70" w:before="0" w:line="264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Run the horizon recursively —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lagged generation is real signal and we do not know next Tuesday's output, so each predicted hour feeds the next as its lag. Confidence bands come from held-out residuals bucketed by predicted output, widened with lead time.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Prove it honestly —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a chronological holdout — never shuffled, which would let the model see 13:00 and 15:00 while predicting 14:00 — scored against the persistence baseline a control room actually falls back on, plus a rolling day-ahead backtest in which the model is rewound each morning and never shown the answers.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A6670"/>
          <w:sz w:val="21"/>
          <w:szCs w:val="21"/>
        </w:rPr>
        <w:t xml:space="preserve">Validation results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38"/>
        <w:gridCol w:w="2000"/>
        <w:gridCol w:w="2000"/>
      </w:tblGrid>
      <w:tr>
        <w:trPr>
          <w:tblHeader/>
        </w:trPr>
        <w:tc>
          <w:tcPr>
            <w:tcW w:type="dxa" w:w="5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aps/>
                <w:color w:val="7A8B97"/>
                <w:sz w:val="15"/>
                <w:szCs w:val="15"/>
              </w:rPr>
              <w:t xml:space="preserve">Metric (held-out data, never seen in training)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aps/>
                <w:color w:val="7A8B97"/>
                <w:sz w:val="15"/>
                <w:szCs w:val="15"/>
              </w:rPr>
              <w:t xml:space="preserve">Solar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aps/>
                <w:color w:val="7A8B97"/>
                <w:sz w:val="15"/>
                <w:szCs w:val="15"/>
              </w:rPr>
              <w:t xml:space="preserve">Wind</w:t>
            </w:r>
          </w:p>
        </w:tc>
      </w:tr>
      <w:tr>
        <w:tc>
          <w:tcPr>
            <w:tcW w:type="dxa" w:w="5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Mean absolute error, % of nameplate capacity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A35F00"/>
                <w:sz w:val="18"/>
                <w:szCs w:val="18"/>
              </w:rPr>
              <w:t xml:space="preserve">0.97%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1.43%</w:t>
            </w:r>
          </w:p>
        </w:tc>
      </w:tr>
      <w:tr>
        <w:tc>
          <w:tcPr>
            <w:tcW w:type="dxa" w:w="5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Root mean squared error, % of capacity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1.92%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2.28%</w:t>
            </w:r>
          </w:p>
        </w:tc>
      </w:tr>
      <w:tr>
        <w:tc>
          <w:tcPr>
            <w:tcW w:type="dxa" w:w="5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R²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0.9931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0.9932</w:t>
            </w:r>
          </w:p>
        </w:tc>
      </w:tr>
      <w:tr>
        <w:tc>
          <w:tcPr>
            <w:tcW w:type="dxa" w:w="5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Persistence baseline MAE (what a control room does without a model)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5.24%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5.94%</w:t>
            </w:r>
          </w:p>
        </w:tc>
      </w:tr>
      <w:tr>
        <w:tc>
          <w:tcPr>
            <w:tcW w:type="dxa" w:w="5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Improvement over that baseline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A35F00"/>
                <w:sz w:val="18"/>
                <w:szCs w:val="18"/>
              </w:rPr>
              <w:t xml:space="preserve">81.4%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75.9%</w:t>
            </w:r>
          </w:p>
        </w:tc>
      </w:tr>
      <w:tr>
        <w:tc>
          <w:tcPr>
            <w:tcW w:type="dxa" w:w="5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Held-out hours scored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6,579</w:t>
            </w:r>
          </w:p>
        </w:tc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6,579</w:t>
            </w:r>
          </w:p>
        </w:tc>
      </w:tr>
    </w:tbl>
    <w:p>
      <w:pPr>
        <w:spacing w:after="80" w:before="70" w:line="264"/>
      </w:pPr>
      <w:r>
        <w:rPr>
          <w:rFonts w:ascii="Calibri" w:cs="Calibri" w:eastAsia="Calibri" w:hAnsi="Calibri"/>
          <w:b/>
          <w:bCs/>
          <w:color w:val="0D1B24"/>
          <w:sz w:val="16"/>
          <w:szCs w:val="16"/>
        </w:rPr>
        <w:t xml:space="preserve">How to read these numbers. </w:t>
      </w:r>
      <w:r>
        <w:rPr>
          <w:rFonts w:ascii="Calibri" w:cs="Calibri" w:eastAsia="Calibri" w:hAnsi="Calibri"/>
          <w:color w:val="4C5F6B"/>
          <w:sz w:val="16"/>
          <w:szCs w:val="16"/>
        </w:rPr>
        <w:t xml:space="preserve">R² is 0.993 for both models because the training targets come from a physics model plus noise, so the mapping being learned genuinely exists in the data. Against real SCADA, day-ahead solar forecasts typically land nearer 4–8% MAE — real plants also have outages, soiling and curtailment no weather feed predicts. Read these as evidence the model has correctly learned the weather-to-power relationship. The figure that transfers is the persistence comparison.</w:t>
      </w:r>
    </w:p>
    <w:p>
      <w:pPr>
        <w:pStyle w:val="Heading1"/>
        <w:keepNext/>
        <w:spacing w:after="110" w:before="260"/>
      </w:pPr>
      <w:r>
        <w:rPr>
          <w:rFonts w:ascii="Calibri" w:cs="Calibri" w:eastAsia="Calibri" w:hAnsi="Calibri"/>
          <w:b/>
          <w:bCs/>
          <w:color w:val="A35F00"/>
          <w:sz w:val="26"/>
          <w:szCs w:val="26"/>
        </w:rPr>
        <w:t xml:space="preserve">4  </w:t>
      </w:r>
      <w:r>
        <w:rPr>
          <w:rFonts w:ascii="Calibri" w:cs="Calibri" w:eastAsia="Calibri" w:hAnsi="Calibri"/>
          <w:b/>
          <w:bCs/>
          <w:color w:val="0D1B24"/>
          <w:sz w:val="26"/>
          <w:szCs w:val="26"/>
        </w:rPr>
        <w:t xml:space="preserve">Key Features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A6670"/>
          <w:sz w:val="21"/>
          <w:szCs w:val="21"/>
        </w:rPr>
        <w:t xml:space="preserve">Portfolio view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World map with a pin per site, colour-coded by current alert status.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KPIs: capacity online, generating now, forecast for the next 24 h, sites needing action, and how much of the at-risk curtailment on-site storage can actually absorb.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A cross-portfolio action queue ranked by urgency, so one screen covers the whole estate.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A6670"/>
          <w:sz w:val="21"/>
          <w:szCs w:val="21"/>
        </w:rPr>
        <w:t xml:space="preserve">Site detail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72-hour forecast chart with a shaded confidence band, recorded output stitched to the forecast across a NOW marker, and each flagged risk window shaded on the chart itself rather than listed separately.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Operating limits drawn as reference lines — export limit, over-generation trigger, under-generation floor — so a breach is visible, not inferred.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A “yesterday's forecast vs actual” panel scored in MAE, RMSE and R², plus the weather driving the prediction: irradiance, cloud cover, hub-height wind and temperature.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A6670"/>
          <w:sz w:val="21"/>
          <w:szCs w:val="21"/>
        </w:rPr>
        <w:t xml:space="preserve">Flagging that reflects real constraints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Over-generation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— above 85% of the site's grid export limit. A plant that can make 180 MW behind a 95 MW substation is over-generating at 81 MW, whatever headroom the panels still have. Connection limits cause most real curtailment.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Under-generation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— below the greater of 15% of capacity and the site's firm delivery schedule. A plant that sold 45 MW day-ahead is short at 30 MW even though 30 MW is healthy output. That is the number a trader is exposed on.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b/>
          <w:bCs/>
          <w:color w:val="0D1B24"/>
          <w:sz w:val="20"/>
          <w:szCs w:val="20"/>
        </w:rPr>
        <w:t xml:space="preserve">Ramp events </w:t>
      </w:r>
      <w:r>
        <w:rPr>
          <w:rFonts w:ascii="Calibri" w:cs="Calibri" w:eastAsia="Calibri" w:hAnsi="Calibri"/>
          <w:color w:val="0D1B24"/>
          <w:sz w:val="20"/>
          <w:szCs w:val="20"/>
        </w:rPr>
        <w:t xml:space="preserve">— swings past 25% of capacity in an hour, merged into single events so a front crossing a wind farm is one thing to schedule against, not four separate alerts.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A6670"/>
          <w:sz w:val="21"/>
          <w:szCs w:val="21"/>
        </w:rPr>
        <w:t xml:space="preserve">Recommendations that explain themselves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Storage handling is quantitative, not a lookup: the engine sizes the surplus against real battery headroom, tracks state of charge forward through the horizon, and where the battery covers only part of the surplus recommends both actions — charge what fits, curtail the rest.</w:t>
      </w:r>
    </w:p>
    <w:p>
      <w:pPr>
        <w:pStyle w:val="ListParagraph"/>
        <w:numPr>
          <w:ilvl w:val="0"/>
          <w:numId w:val="1"/>
        </w:numPr>
        <w:spacing w:after="60" w:line="264"/>
        <w:ind w:left="260" w:hanging="200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Every sentence is assembled from live figures, so the wording moves with the forecast. Nothing in the interface is hardcoded demo text.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before="0" w:line="250"/>
            </w:pPr>
            <w:r>
              <w:rPr>
                <w:rFonts w:ascii="Consolas" w:cs="Consolas" w:eastAsia="Consolas" w:hAnsi="Consolas"/>
                <w:color w:val="0D1B24"/>
                <w:sz w:val="17"/>
                <w:szCs w:val="17"/>
              </w:rPr>
              <w:t xml:space="preserve">“Forecast peaks at 100.6 MW across 4h (06:00–09:00 UTC on 13 Sep), 106% of the 95.0 MW substation export limit. The 60 MWh battery is already at 100% and has no headroom left, leaving 9.2 MWh with nowhere to go — issue a curtailment instruction capped at 95.0 MW export, trimming up to 5.6 MW at the peak hour.”</w:t>
            </w:r>
          </w:p>
          <w:p>
            <w:pPr>
              <w:spacing w:after="0" w:before="0" w:line="264"/>
            </w:pPr>
            <w:r>
              <w:rPr>
                <w:rFonts w:ascii="Consolas" w:cs="Consolas" w:eastAsia="Consolas" w:hAnsi="Consolas"/>
                <w:color w:val="7A8B97"/>
                <w:sz w:val="14"/>
                <w:szCs w:val="14"/>
              </w:rPr>
              <w:t xml:space="preserve">VERBATIM FROM  GET /api/sites/{id}/recommendations</w:t>
            </w:r>
          </w:p>
        </w:tc>
      </w:tr>
    </w:tbl>
    <w:p>
      <w:pPr>
        <w:pStyle w:val="Heading1"/>
        <w:keepNext/>
        <w:spacing w:after="110" w:before="260"/>
      </w:pPr>
      <w:r>
        <w:rPr>
          <w:rFonts w:ascii="Calibri" w:cs="Calibri" w:eastAsia="Calibri" w:hAnsi="Calibri"/>
          <w:b/>
          <w:bCs/>
          <w:color w:val="A35F00"/>
          <w:sz w:val="26"/>
          <w:szCs w:val="26"/>
        </w:rPr>
        <w:t xml:space="preserve">5  </w:t>
      </w:r>
      <w:r>
        <w:rPr>
          <w:rFonts w:ascii="Calibri" w:cs="Calibri" w:eastAsia="Calibri" w:hAnsi="Calibri"/>
          <w:b/>
          <w:bCs/>
          <w:color w:val="0D1B24"/>
          <w:sz w:val="26"/>
          <w:szCs w:val="26"/>
        </w:rPr>
        <w:t xml:space="preserve">Technology and Implementation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Backend</w:t>
            </w:r>
          </w:p>
        </w:tc>
        <w:tc>
          <w:tcPr>
            <w:tcW w:type="dxa" w:w="7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Python · FastAPI · SQLAlchemy + SQLite · pandas · APScheduler for scheduled forecast refresh</w:t>
            </w:r>
          </w:p>
        </w:tc>
      </w:tr>
      <w:tr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7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XGBoost gradient-boosted regressors, one per technology · scikit-learn for metrics · 20 engineered features per hour, including cyclical time encoding, NOAA solar geometry, clear-sky index, wind shear and generation lags</w:t>
            </w:r>
          </w:p>
        </w:tc>
      </w:tr>
      <w:tr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Frontend</w:t>
            </w:r>
          </w:p>
        </w:tc>
        <w:tc>
          <w:tcPr>
            <w:tcW w:type="dxa" w:w="7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Next.js 15 · TypeScript · Tailwind CSS · Recharts · react-leaflet · Framer Motion</w:t>
            </w:r>
          </w:p>
        </w:tc>
      </w:tr>
      <w:tr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Data sources</w:t>
            </w:r>
          </w:p>
        </w:tc>
        <w:tc>
          <w:tcPr>
            <w:tcW w:type="dxa" w:w="7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Open-Meteo forecast API and ERA5 reanalysis archive API — free, keyless, no signup, no rate-limit management</w:t>
            </w:r>
          </w:p>
        </w:tc>
      </w:tr>
      <w:tr>
        <w:tc>
          <w:tcPr>
            <w:tcW w:type="dxa" w:w="20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Serving</w:t>
            </w:r>
          </w:p>
        </w:tc>
        <w:tc>
          <w:tcPr>
            <w:tcW w:type="dxa" w:w="763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9 REST endpoints; each site's forecast computed once and cached, refreshed on a schedule and warmed at startup, so the dashboard answers in 10–40 ms</w:t>
            </w:r>
          </w:p>
        </w:tc>
      </w:tr>
    </w:tbl>
    <w:p>
      <w:pPr>
        <w:spacing w:after="120" w:before="80" w:line="264"/>
      </w:pPr>
      <w:r>
        <w:rPr>
          <w:rFonts w:ascii="Calibri" w:cs="Calibri" w:eastAsia="Calibri" w:hAnsi="Calibri"/>
          <w:color w:val="0D1B24"/>
          <w:sz w:val="20"/>
          <w:szCs w:val="20"/>
        </w:rPr>
        <w:t xml:space="preserve">No paid APIs and no service requiring a credit card or an approval wait. The whole system runs from a clean clone with documented install commands and an empty .env file.</w:t>
      </w:r>
    </w:p>
    <w:p>
      <w:pPr>
        <w:pStyle w:val="Heading2"/>
        <w:keepNext/>
        <w:spacing w:after="60" w:before="140"/>
      </w:pPr>
      <w:r>
        <w:rPr>
          <w:rFonts w:ascii="Calibri" w:cs="Calibri" w:eastAsia="Calibri" w:hAnsi="Calibri"/>
          <w:b/>
          <w:bCs/>
          <w:color w:val="0A6670"/>
          <w:sz w:val="21"/>
          <w:szCs w:val="21"/>
        </w:rPr>
        <w:t xml:space="preserve">Build sequence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6288"/>
        <w:gridCol w:w="1600"/>
      </w:tblGrid>
      <w:tr>
        <w:trPr>
          <w:tblHeader/>
        </w:trP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aps/>
                <w:color w:val="7A8B97"/>
                <w:sz w:val="15"/>
                <w:szCs w:val="15"/>
              </w:rPr>
              <w:t xml:space="preserve">Stage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aps/>
                <w:color w:val="7A8B97"/>
                <w:sz w:val="15"/>
                <w:szCs w:val="15"/>
              </w:rPr>
              <w:t xml:space="preserve">Deliverable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shd w:fill="F2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aps/>
                <w:color w:val="7A8B97"/>
                <w:sz w:val="15"/>
                <w:szCs w:val="15"/>
              </w:rPr>
              <w:t xml:space="preserve">Status</w:t>
            </w:r>
          </w:p>
        </w:tc>
      </w:tr>
      <w:t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8"/>
                <w:szCs w:val="18"/>
              </w:rPr>
              <w:t xml:space="preserve">Data layer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Open-Meteo client, PV and turbine physics, 15-month historical dataset builder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8"/>
                <w:szCs w:val="18"/>
              </w:rPr>
              <w:t xml:space="preserve">ML pipeline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Feature engineering shared by training and serving, chronological training, metrics written to file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8"/>
                <w:szCs w:val="18"/>
              </w:rPr>
              <w:t xml:space="preserve">API + rules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Sites, weather, forecast, backtest, alerts, recommendations, portfolio summary; flagging and recommendation engines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8"/>
                <w:szCs w:val="18"/>
              </w:rPr>
              <w:t xml:space="preserve">Dashboard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Portfolio map and KPIs, site detail view, backtest panel, model report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A667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8"/>
                <w:szCs w:val="18"/>
              </w:rPr>
              <w:t xml:space="preserve">Next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Quantile regression for calibrated p10/p50/p90 bands; multi-model NWP ensemble, using cross-model spread as its own uncertainty signal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4C5F6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8"/>
                <w:szCs w:val="18"/>
              </w:rPr>
              <w:t xml:space="preserve">Then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SCADA ingestion replacing the synthetic history; Postgres + TimescaleDB at fleet scale; price-aware curtailment economics; scheduled retraining with drift monitoring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4C5F6B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75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D1B24"/>
                <w:sz w:val="18"/>
                <w:szCs w:val="18"/>
              </w:rPr>
              <w:t xml:space="preserve">Later</w:t>
            </w:r>
          </w:p>
        </w:tc>
        <w:tc>
          <w:tcPr>
            <w:tcW w:type="dxa" w:w="6288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D1B24"/>
                <w:sz w:val="18"/>
                <w:szCs w:val="18"/>
              </w:rPr>
              <w:t xml:space="preserve">Write-back into the dispatch system behind an operator sign-off step, so a recommendation becomes an instruction</w:t>
            </w:r>
          </w:p>
        </w:tc>
        <w:tc>
          <w:tcPr>
            <w:tcW w:type="dxa" w:w="1600"/>
            <w:tcBorders>
              <w:top w:val="single" w:color="C9D5DD" w:sz="2"/>
              <w:left w:val="single" w:color="C9D5DD" w:sz="2"/>
              <w:bottom w:val="single" w:color="C9D5DD" w:sz="2"/>
              <w:right w:val="single" w:color="C9D5DD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4C5F6B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0" w:before="90" w:line="264"/>
      </w:pPr>
      <w:r>
        <w:rPr>
          <w:rFonts w:ascii="Calibri" w:cs="Calibri" w:eastAsia="Calibri" w:hAnsi="Calibri"/>
          <w:b/>
          <w:bCs/>
          <w:color w:val="0D1B24"/>
          <w:sz w:val="17"/>
          <w:szCs w:val="17"/>
        </w:rPr>
        <w:t xml:space="preserve">Prototype already running. </w:t>
      </w:r>
      <w:r>
        <w:rPr>
          <w:rFonts w:ascii="Calibri" w:cs="Calibri" w:eastAsia="Calibri" w:hAnsi="Calibri"/>
          <w:color w:val="4C5F6B"/>
          <w:sz w:val="17"/>
          <w:szCs w:val="17"/>
        </w:rPr>
        <w:t xml:space="preserve">Six real sites totalling 892 MW across four continents — three solar, three wind — forecasting on live weather, with the flagging and recommendation engines operating end to end. The architecture above is not drawn on paper; each remaining row is a swap behind an interface that already exists.</w:t>
      </w:r>
    </w:p>
    <w:sectPr>
      <w:pgSz w:w="11906" w:h="16838" w:orient="portrait"/>
      <w:pgMar w:top="1134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1B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GridPulse — Ideation Round Report</dc:title>
  <dc:creator>GridPulse</dc:creator>
  <dc:description>AI-Powered Renewable Generation Forecasting Platform</dc:description>
  <cp:lastModifiedBy>Un-named</cp:lastModifiedBy>
  <cp:revision>1</cp:revision>
  <dcterms:created xsi:type="dcterms:W3CDTF">2026-09-11T18:51:34.240Z</dcterms:created>
  <dcterms:modified xsi:type="dcterms:W3CDTF">2026-09-11T18:51:34.241Z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