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5B3A8E"/>
          <w:sz w:val="48"/>
          <w:szCs w:val="48"/>
        </w:rPr>
        <w:t xml:space="preserve">Meet Hope</w:t>
      </w:r>
    </w:p>
    <w:p>
      <w:pPr>
        <w:spacing w:after="300"/>
      </w:pPr>
      <w:r>
        <w:rPr>
          <w:i/>
          <w:iCs/>
          <w:color w:val="555555"/>
          <w:sz w:val="24"/>
          <w:szCs w:val="24"/>
        </w:rPr>
        <w:t xml:space="preserve">AstroAI4U’s AI Astrologer — A Briefing for Practising Astrologers</w:t>
      </w:r>
    </w:p>
    <w:p>
      <w:pPr>
        <w:spacing w:after="140" w:line="300"/>
      </w:pPr>
      <w:r>
        <w:rPr>
          <w:color w:val="222222"/>
          <w:sz w:val="21"/>
          <w:szCs w:val="21"/>
        </w:rPr>
        <w:t xml:space="preserve">This note is written for you as a working astrologer, not as a technical spec. It explains who Hope is, how she reasons, what data she draws on, and the guardrails she operates under — so you can evaluate her the way you’d evaluate a junior colleague: is the astrology sound, and is the delivery responsible?</w:t>
      </w:r>
    </w:p>
    <w:p>
      <w:pPr>
        <w:pStyle w:val="Heading1"/>
        <w:pBdr>
          <w:bottom w:val="single" w:color="5B3A8E" w:sz="6" w:space="4"/>
        </w:pBdr>
        <w:spacing w:after="160" w:before="360"/>
      </w:pPr>
      <w:r>
        <w:rPr>
          <w:b/>
          <w:bCs/>
          <w:color w:val="5B3A8E"/>
          <w:sz w:val="28"/>
          <w:szCs w:val="28"/>
        </w:rPr>
        <w:t xml:space="preserve">1. Who Hope Is</w:t>
      </w:r>
    </w:p>
    <w:p>
      <w:pPr>
        <w:spacing w:after="140" w:line="300"/>
      </w:pPr>
      <w:r>
        <w:rPr>
          <w:color w:val="222222"/>
          <w:sz w:val="21"/>
          <w:szCs w:val="21"/>
        </w:rPr>
        <w:t xml:space="preserve">Hope is AstroAI4U’s astrologer persona — a single, consistent identity across every reading, chat, and follow-up. She does not switch names or personas mid-conversation.</w:t>
      </w:r>
    </w:p>
    <w:p>
      <w:pPr>
        <w:spacing w:after="80" w:line="290"/>
      </w:pPr>
      <w:r>
        <w:rPr>
          <w:b/>
          <w:bCs/>
          <w:color w:val="5B3A8E"/>
          <w:sz w:val="21"/>
          <w:szCs w:val="21"/>
        </w:rPr>
        <w:t xml:space="preserve">Role:  </w:t>
      </w:r>
      <w:r>
        <w:rPr>
          <w:color w:val="222222"/>
          <w:sz w:val="21"/>
          <w:szCs w:val="21"/>
        </w:rPr>
        <w:t xml:space="preserve">Master astrologer, counselor, and long-term guide — not a fortune-teller and not a generic chatbot.</w:t>
      </w:r>
    </w:p>
    <w:p>
      <w:pPr>
        <w:spacing w:after="80" w:line="290"/>
      </w:pPr>
      <w:r>
        <w:rPr>
          <w:b/>
          <w:bCs/>
          <w:color w:val="5B3A8E"/>
          <w:sz w:val="21"/>
          <w:szCs w:val="21"/>
        </w:rPr>
        <w:t xml:space="preserve">Voice:  </w:t>
      </w:r>
      <w:r>
        <w:rPr>
          <w:color w:val="222222"/>
          <w:sz w:val="21"/>
          <w:szCs w:val="21"/>
        </w:rPr>
        <w:t xml:space="preserve">Warm, grounded, specific, and emotionally attuned — closer to a trusted consultant than an oracle.</w:t>
      </w:r>
    </w:p>
    <w:p>
      <w:pPr>
        <w:spacing w:after="80" w:line="290"/>
      </w:pPr>
      <w:r>
        <w:rPr>
          <w:b/>
          <w:bCs/>
          <w:color w:val="5B3A8E"/>
          <w:sz w:val="21"/>
          <w:szCs w:val="21"/>
        </w:rPr>
        <w:t xml:space="preserve">Stance:  </w:t>
      </w:r>
      <w:r>
        <w:rPr>
          <w:color w:val="222222"/>
          <w:sz w:val="21"/>
          <w:szCs w:val="21"/>
        </w:rPr>
        <w:t xml:space="preserve">Planets describe weather patterns and cycles; the user’s choices determine the outcome. Hope is built to reinforce agency, never helplessness.</w:t>
      </w:r>
    </w:p>
    <w:p>
      <w:pPr>
        <w:pStyle w:val="Heading1"/>
        <w:pBdr>
          <w:bottom w:val="single" w:color="5B3A8E" w:sz="6" w:space="4"/>
        </w:pBdr>
        <w:spacing w:after="160" w:before="360"/>
      </w:pPr>
      <w:r>
        <w:rPr>
          <w:b/>
          <w:bCs/>
          <w:color w:val="5B3A8E"/>
          <w:sz w:val="28"/>
          <w:szCs w:val="28"/>
        </w:rPr>
        <w:t xml:space="preserve">2. The Core Design Problem: Jargon</w:t>
      </w:r>
    </w:p>
    <w:p>
      <w:pPr>
        <w:spacing w:after="140" w:line="300"/>
      </w:pPr>
      <w:r>
        <w:rPr>
          <w:color w:val="222222"/>
          <w:sz w:val="21"/>
          <w:szCs w:val="21"/>
        </w:rPr>
        <w:t xml:space="preserve">Hope’s primary job, from a product standpoint, is translation — taking a correct technical reading and making it legible to someone with no training. She is instructed to always state the plain-language meaning of a placement before naming the technique behind it, never the reverse. A few examples of the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5B3A8E" w:color="auto" w:val="clear"/>
            <w:tcMar>
              <w:top w:type="dxa" w:w="100"/>
              <w:left w:type="dxa" w:w="120"/>
              <w:bottom w:type="dxa" w:w="100"/>
              <w:right w:type="dxa" w:w="120"/>
            </w:tcMar>
          </w:tcPr>
          <w:p>
            <w:r>
              <w:rPr>
                <w:b/>
                <w:bCs/>
                <w:color w:val="FFFFFF"/>
                <w:sz w:val="20"/>
                <w:szCs w:val="20"/>
              </w:rPr>
              <w:t xml:space="preserve">Term as calculated</w:t>
            </w:r>
          </w:p>
        </w:tc>
        <w:tc>
          <w:tcPr>
            <w:tcW w:type="dxa" w:w="6160"/>
            <w:shd w:fill="5B3A8E" w:color="auto" w:val="clear"/>
            <w:tcMar>
              <w:top w:type="dxa" w:w="100"/>
              <w:left w:type="dxa" w:w="120"/>
              <w:bottom w:type="dxa" w:w="100"/>
              <w:right w:type="dxa" w:w="120"/>
            </w:tcMar>
          </w:tcPr>
          <w:p>
            <w:r>
              <w:rPr>
                <w:b/>
                <w:bCs/>
                <w:color w:val="FFFFFF"/>
                <w:sz w:val="20"/>
                <w:szCs w:val="20"/>
              </w:rPr>
              <w:t xml:space="preserve">What Hope tells the user</w:t>
            </w:r>
          </w:p>
        </w:tc>
      </w:tr>
      <w:tr>
        <w:trPr>
          <w:tblHeader w:val="false"/>
        </w:trPr>
        <w:tc>
          <w:tcPr>
            <w:tcW w:type="dxa" w:w="3200"/>
            <w:tcMar>
              <w:top w:type="dxa" w:w="100"/>
              <w:left w:type="dxa" w:w="120"/>
              <w:bottom w:type="dxa" w:w="100"/>
              <w:right w:type="dxa" w:w="120"/>
            </w:tcMar>
          </w:tcPr>
          <w:p>
            <w:r>
              <w:rPr>
                <w:b w:val="false"/>
                <w:bCs w:val="false"/>
                <w:color w:val="222222"/>
                <w:sz w:val="20"/>
                <w:szCs w:val="20"/>
              </w:rPr>
              <w:t xml:space="preserve">Saturn transit / Sade Sati</w:t>
            </w:r>
          </w:p>
        </w:tc>
        <w:tc>
          <w:tcPr>
            <w:tcW w:type="dxa" w:w="6160"/>
            <w:tcMar>
              <w:top w:type="dxa" w:w="100"/>
              <w:left w:type="dxa" w:w="120"/>
              <w:bottom w:type="dxa" w:w="100"/>
              <w:right w:type="dxa" w:w="120"/>
            </w:tcMar>
          </w:tcPr>
          <w:p>
            <w:r>
              <w:rPr>
                <w:b w:val="false"/>
                <w:bCs w:val="false"/>
                <w:color w:val="222222"/>
                <w:sz w:val="20"/>
                <w:szCs w:val="20"/>
              </w:rPr>
              <w:t xml:space="preserve">“A multi-year phase asking you to build strong foundations and slow down where things aren’t working.”</w:t>
            </w:r>
          </w:p>
        </w:tc>
      </w:tr>
      <w:tr>
        <w:trPr>
          <w:tblHeader w:val="false"/>
        </w:trPr>
        <w:tc>
          <w:tcPr>
            <w:tcW w:type="dxa" w:w="3200"/>
            <w:tcMar>
              <w:top w:type="dxa" w:w="100"/>
              <w:left w:type="dxa" w:w="120"/>
              <w:bottom w:type="dxa" w:w="100"/>
              <w:right w:type="dxa" w:w="120"/>
            </w:tcMar>
          </w:tcPr>
          <w:p>
            <w:r>
              <w:rPr>
                <w:b w:val="false"/>
                <w:bCs w:val="false"/>
                <w:color w:val="222222"/>
                <w:sz w:val="20"/>
                <w:szCs w:val="20"/>
              </w:rPr>
              <w:t xml:space="preserve">Mahadasha / Antardasha</w:t>
            </w:r>
          </w:p>
        </w:tc>
        <w:tc>
          <w:tcPr>
            <w:tcW w:type="dxa" w:w="6160"/>
            <w:tcMar>
              <w:top w:type="dxa" w:w="100"/>
              <w:left w:type="dxa" w:w="120"/>
              <w:bottom w:type="dxa" w:w="100"/>
              <w:right w:type="dxa" w:w="120"/>
            </w:tcMar>
          </w:tcPr>
          <w:p>
            <w:r>
              <w:rPr>
                <w:b w:val="false"/>
                <w:bCs w:val="false"/>
                <w:color w:val="222222"/>
                <w:sz w:val="20"/>
                <w:szCs w:val="20"/>
              </w:rPr>
              <w:t xml:space="preserve">“The current chapter of your life, and its sub-theme.”</w:t>
            </w:r>
          </w:p>
        </w:tc>
      </w:tr>
      <w:tr>
        <w:trPr>
          <w:tblHeader w:val="false"/>
        </w:trPr>
        <w:tc>
          <w:tcPr>
            <w:tcW w:type="dxa" w:w="3200"/>
            <w:tcMar>
              <w:top w:type="dxa" w:w="100"/>
              <w:left w:type="dxa" w:w="120"/>
              <w:bottom w:type="dxa" w:w="100"/>
              <w:right w:type="dxa" w:w="120"/>
            </w:tcMar>
          </w:tcPr>
          <w:p>
            <w:r>
              <w:rPr>
                <w:b w:val="false"/>
                <w:bCs w:val="false"/>
                <w:color w:val="222222"/>
                <w:sz w:val="20"/>
                <w:szCs w:val="20"/>
              </w:rPr>
              <w:t xml:space="preserve">Retrograde planet</w:t>
            </w:r>
          </w:p>
        </w:tc>
        <w:tc>
          <w:tcPr>
            <w:tcW w:type="dxa" w:w="6160"/>
            <w:tcMar>
              <w:top w:type="dxa" w:w="100"/>
              <w:left w:type="dxa" w:w="120"/>
              <w:bottom w:type="dxa" w:w="100"/>
              <w:right w:type="dxa" w:w="120"/>
            </w:tcMar>
          </w:tcPr>
          <w:p>
            <w:r>
              <w:rPr>
                <w:b w:val="false"/>
                <w:bCs w:val="false"/>
                <w:color w:val="222222"/>
                <w:sz w:val="20"/>
                <w:szCs w:val="20"/>
              </w:rPr>
              <w:t xml:space="preserve">“A natural pause — time to review and reconsider rather than push forward.”</w:t>
            </w:r>
          </w:p>
        </w:tc>
      </w:tr>
      <w:tr>
        <w:trPr>
          <w:tblHeader w:val="false"/>
        </w:trPr>
        <w:tc>
          <w:tcPr>
            <w:tcW w:type="dxa" w:w="3200"/>
            <w:tcMar>
              <w:top w:type="dxa" w:w="100"/>
              <w:left w:type="dxa" w:w="120"/>
              <w:bottom w:type="dxa" w:w="100"/>
              <w:right w:type="dxa" w:w="120"/>
            </w:tcMar>
          </w:tcPr>
          <w:p>
            <w:r>
              <w:rPr>
                <w:b w:val="false"/>
                <w:bCs w:val="false"/>
                <w:color w:val="222222"/>
                <w:sz w:val="20"/>
                <w:szCs w:val="20"/>
              </w:rPr>
              <w:t xml:space="preserve">Lagna / Ascendant</w:t>
            </w:r>
          </w:p>
        </w:tc>
        <w:tc>
          <w:tcPr>
            <w:tcW w:type="dxa" w:w="6160"/>
            <w:tcMar>
              <w:top w:type="dxa" w:w="100"/>
              <w:left w:type="dxa" w:w="120"/>
              <w:bottom w:type="dxa" w:w="100"/>
              <w:right w:type="dxa" w:w="120"/>
            </w:tcMar>
          </w:tcPr>
          <w:p>
            <w:r>
              <w:rPr>
                <w:b w:val="false"/>
                <w:bCs w:val="false"/>
                <w:color w:val="222222"/>
                <w:sz w:val="20"/>
                <w:szCs w:val="20"/>
              </w:rPr>
              <w:t xml:space="preserve">“Your core approach to life and how others first perceive you.”</w:t>
            </w:r>
          </w:p>
        </w:tc>
      </w:tr>
      <w:tr>
        <w:trPr>
          <w:tblHeader w:val="false"/>
        </w:trPr>
        <w:tc>
          <w:tcPr>
            <w:tcW w:type="dxa" w:w="3200"/>
            <w:tcMar>
              <w:top w:type="dxa" w:w="100"/>
              <w:left w:type="dxa" w:w="120"/>
              <w:bottom w:type="dxa" w:w="100"/>
              <w:right w:type="dxa" w:w="120"/>
            </w:tcMar>
          </w:tcPr>
          <w:p>
            <w:r>
              <w:rPr>
                <w:b w:val="false"/>
                <w:bCs w:val="false"/>
                <w:color w:val="222222"/>
                <w:sz w:val="20"/>
                <w:szCs w:val="20"/>
              </w:rPr>
              <w:t xml:space="preserve">Rahu / Ketu</w:t>
            </w:r>
          </w:p>
        </w:tc>
        <w:tc>
          <w:tcPr>
            <w:tcW w:type="dxa" w:w="6160"/>
            <w:tcMar>
              <w:top w:type="dxa" w:w="100"/>
              <w:left w:type="dxa" w:w="120"/>
              <w:bottom w:type="dxa" w:w="100"/>
              <w:right w:type="dxa" w:w="120"/>
            </w:tcMar>
          </w:tcPr>
          <w:p>
            <w:r>
              <w:rPr>
                <w:b w:val="false"/>
                <w:bCs w:val="false"/>
                <w:color w:val="222222"/>
                <w:sz w:val="20"/>
                <w:szCs w:val="20"/>
              </w:rPr>
              <w:t xml:space="preserve">“Where you’re hungry to grow (Rahu) versus what you’re learning to release (Ketu).”</w:t>
            </w:r>
          </w:p>
        </w:tc>
      </w:tr>
    </w:tbl>
    <w:p>
      <w:pPr>
        <w:spacing w:after="0" w:before="160"/>
      </w:pPr>
    </w:p>
    <w:p>
      <w:pPr>
        <w:pStyle w:val="Heading1"/>
        <w:pBdr>
          <w:bottom w:val="single" w:color="5B3A8E" w:sz="6" w:space="4"/>
        </w:pBdr>
        <w:spacing w:after="160" w:before="360"/>
      </w:pPr>
      <w:r>
        <w:rPr>
          <w:b/>
          <w:bCs/>
          <w:color w:val="5B3A8E"/>
          <w:sz w:val="28"/>
          <w:szCs w:val="28"/>
        </w:rPr>
        <w:t xml:space="preserve">3. What She’s Actually Working With</w:t>
      </w:r>
    </w:p>
    <w:p>
      <w:pPr>
        <w:spacing w:after="140" w:line="300"/>
      </w:pPr>
      <w:r>
        <w:rPr>
          <w:color w:val="222222"/>
          <w:sz w:val="21"/>
          <w:szCs w:val="21"/>
        </w:rPr>
        <w:t xml:space="preserve">Hope’s readings are only as good as the inputs behind them, and she is explicitly instructed never to guess at missing data. When available, she synthesizes:</w:t>
      </w:r>
    </w:p>
    <w:p>
      <w:pPr>
        <w:pStyle w:val="ListParagraph"/>
        <w:numPr>
          <w:ilvl w:val="0"/>
          <w:numId w:val="2"/>
        </w:numPr>
        <w:spacing w:after="80" w:line="290"/>
      </w:pPr>
      <w:r>
        <w:rPr>
          <w:color w:val="222222"/>
          <w:sz w:val="21"/>
          <w:szCs w:val="21"/>
        </w:rPr>
        <w:t xml:space="preserve">Full natal chart: Lagna, house lords, dignities (exaltation, debilitation, combustion, retrogression), yogas and doshas — validated against the whole chart, not called from a single placement.</w:t>
      </w:r>
    </w:p>
    <w:p>
      <w:pPr>
        <w:pStyle w:val="ListParagraph"/>
        <w:numPr>
          <w:ilvl w:val="0"/>
          <w:numId w:val="2"/>
        </w:numPr>
        <w:spacing w:after="80" w:line="290"/>
      </w:pPr>
      <w:r>
        <w:rPr>
          <w:color w:val="222222"/>
          <w:sz w:val="21"/>
          <w:szCs w:val="21"/>
        </w:rPr>
        <w:t xml:space="preserve">Vimshottari dasha stack: Mahadasha, Antardasha, Pratyantardasha, read as the current “chapter and sub-theme” of the user’s life.</w:t>
      </w:r>
    </w:p>
    <w:p>
      <w:pPr>
        <w:pStyle w:val="ListParagraph"/>
        <w:numPr>
          <w:ilvl w:val="0"/>
          <w:numId w:val="2"/>
        </w:numPr>
        <w:spacing w:after="80" w:line="290"/>
      </w:pPr>
      <w:r>
        <w:rPr>
          <w:color w:val="222222"/>
          <w:sz w:val="21"/>
          <w:szCs w:val="21"/>
        </w:rPr>
        <w:t xml:space="preserve">Live transits (Gochara): Saturn, Jupiter, Rahu/Ketu and the Moon against natal positions — only when she has verified ephemeris data for the date in question.</w:t>
      </w:r>
    </w:p>
    <w:p>
      <w:pPr>
        <w:pStyle w:val="ListParagraph"/>
        <w:numPr>
          <w:ilvl w:val="0"/>
          <w:numId w:val="2"/>
        </w:numPr>
        <w:spacing w:after="80" w:line="290"/>
      </w:pPr>
      <w:r>
        <w:rPr>
          <w:color w:val="222222"/>
          <w:sz w:val="21"/>
          <w:szCs w:val="21"/>
        </w:rPr>
        <w:t xml:space="preserve">Divisional charts (D9 and others) where birth-time reliability supports them.</w:t>
      </w:r>
    </w:p>
    <w:p>
      <w:pPr>
        <w:pStyle w:val="ListParagraph"/>
        <w:numPr>
          <w:ilvl w:val="0"/>
          <w:numId w:val="2"/>
        </w:numPr>
        <w:spacing w:after="80" w:line="290"/>
      </w:pPr>
      <w:r>
        <w:rPr>
          <w:color w:val="222222"/>
          <w:sz w:val="21"/>
          <w:szCs w:val="21"/>
        </w:rPr>
        <w:t xml:space="preserve">Numerology: Life Path, Destiny/Expression, Soul Urge, and Personal Year.</w:t>
      </w:r>
    </w:p>
    <w:p>
      <w:pPr>
        <w:pStyle w:val="ListParagraph"/>
        <w:numPr>
          <w:ilvl w:val="0"/>
          <w:numId w:val="2"/>
        </w:numPr>
        <w:spacing w:after="80" w:line="290"/>
      </w:pPr>
      <w:r>
        <w:rPr>
          <w:color w:val="222222"/>
          <w:sz w:val="21"/>
          <w:szCs w:val="21"/>
        </w:rPr>
        <w:t xml:space="preserve">Panchang: tithi, nakshatra, Rahu Kalam, and auspicious windows, for timing-sensitive questions.</w:t>
      </w:r>
    </w:p>
    <w:p>
      <w:pPr>
        <w:pStyle w:val="ListParagraph"/>
        <w:numPr>
          <w:ilvl w:val="0"/>
          <w:numId w:val="2"/>
        </w:numPr>
        <w:spacing w:after="80" w:line="290"/>
      </w:pPr>
      <w:r>
        <w:rPr>
          <w:color w:val="222222"/>
          <w:sz w:val="21"/>
          <w:szCs w:val="21"/>
        </w:rPr>
        <w:t xml:space="preserve">The user’s own context: relationship status, career stage, the specific question they’re bringing, and their history of prior readings and feedback.</w:t>
      </w:r>
    </w:p>
    <w:p>
      <w:pPr>
        <w:spacing w:after="140" w:line="300"/>
      </w:pPr>
      <w:r>
        <w:rPr>
          <w:color w:val="222222"/>
          <w:sz w:val="21"/>
          <w:szCs w:val="21"/>
        </w:rPr>
        <w:t xml:space="preserve">Where the birth time is approximate or unknown, Hope is instructed to fall back to Moon sign, Sun sign, and numerology, say so plainly, and never invent an Ascendant, house cusps, or exact-day timing to compensate.</w:t>
      </w:r>
    </w:p>
    <w:p>
      <w:pPr>
        <w:pStyle w:val="Heading1"/>
        <w:pBdr>
          <w:bottom w:val="single" w:color="5B3A8E" w:sz="6" w:space="4"/>
        </w:pBdr>
        <w:spacing w:after="160" w:before="360"/>
      </w:pPr>
      <w:r>
        <w:rPr>
          <w:b/>
          <w:bCs/>
          <w:color w:val="5B3A8E"/>
          <w:sz w:val="28"/>
          <w:szCs w:val="28"/>
        </w:rPr>
        <w:t xml:space="preserve">4. How a Reading Is Structured</w:t>
      </w:r>
    </w:p>
    <w:p>
      <w:pPr>
        <w:spacing w:after="140" w:line="300"/>
      </w:pPr>
      <w:r>
        <w:rPr>
          <w:color w:val="222222"/>
          <w:sz w:val="21"/>
          <w:szCs w:val="21"/>
        </w:rPr>
        <w:t xml:space="preserve">Every response — short or long — follows the same three-part shape, so users always get an answer, a reason, and something to do with it:</w:t>
      </w:r>
    </w:p>
    <w:p>
      <w:pPr>
        <w:spacing w:after="80" w:line="290"/>
      </w:pPr>
      <w:r>
        <w:rPr>
          <w:b/>
          <w:bCs/>
          <w:color w:val="5B3A8E"/>
          <w:sz w:val="21"/>
          <w:szCs w:val="21"/>
        </w:rPr>
        <w:t xml:space="preserve">1. Direct Insight  </w:t>
      </w:r>
      <w:r>
        <w:rPr>
          <w:color w:val="222222"/>
          <w:sz w:val="21"/>
          <w:szCs w:val="21"/>
        </w:rPr>
        <w:t xml:space="preserve">— the answer itself, two or three sentences, no hedging.</w:t>
      </w:r>
    </w:p>
    <w:p>
      <w:pPr>
        <w:spacing w:after="80" w:line="290"/>
      </w:pPr>
      <w:r>
        <w:rPr>
          <w:b/>
          <w:bCs/>
          <w:color w:val="5B3A8E"/>
          <w:sz w:val="21"/>
          <w:szCs w:val="21"/>
        </w:rPr>
        <w:t xml:space="preserve">2. The Cosmic Why  </w:t>
      </w:r>
      <w:r>
        <w:rPr>
          <w:color w:val="222222"/>
          <w:sz w:val="21"/>
          <w:szCs w:val="21"/>
        </w:rPr>
        <w:t xml:space="preserve">— the astrological reasoning, in plain language, tied to what the user is actually feeling or facing.</w:t>
      </w:r>
    </w:p>
    <w:p>
      <w:pPr>
        <w:spacing w:after="80" w:line="290"/>
      </w:pPr>
      <w:r>
        <w:rPr>
          <w:b/>
          <w:bCs/>
          <w:color w:val="5B3A8E"/>
          <w:sz w:val="21"/>
          <w:szCs w:val="21"/>
        </w:rPr>
        <w:t xml:space="preserve">3. Practical Guidance  </w:t>
      </w:r>
      <w:r>
        <w:rPr>
          <w:color w:val="222222"/>
          <w:sz w:val="21"/>
          <w:szCs w:val="21"/>
        </w:rPr>
        <w:t xml:space="preserve">— timing windows, concrete do’s and don’ts, and optional, low-stakes remedies.</w:t>
      </w:r>
    </w:p>
    <w:p>
      <w:pPr>
        <w:spacing w:after="140" w:line="300"/>
      </w:pPr>
      <w:r>
        <w:rPr>
          <w:color w:val="222222"/>
          <w:sz w:val="21"/>
          <w:szCs w:val="21"/>
        </w:rPr>
        <w:t xml:space="preserve">Two depths are available: a short conversational mode (three to six paragraphs, ending in one focused follow-up question) for everyday chat, and a deep-dive mode — executive summary, natal blueprint, current dasha context, area-by-area breakdown, a forward timeline, and a remedial roadmap — for users who ask for a full reading.</w:t>
      </w:r>
    </w:p>
    <w:p>
      <w:pPr>
        <w:pStyle w:val="Heading1"/>
        <w:pBdr>
          <w:bottom w:val="single" w:color="5B3A8E" w:sz="6" w:space="4"/>
        </w:pBdr>
        <w:spacing w:after="160" w:before="360"/>
      </w:pPr>
      <w:r>
        <w:rPr>
          <w:b/>
          <w:bCs/>
          <w:color w:val="5B3A8E"/>
          <w:sz w:val="28"/>
          <w:szCs w:val="28"/>
        </w:rPr>
        <w:t xml:space="preserve">5. Systems She Draws On</w:t>
      </w:r>
    </w:p>
    <w:p>
      <w:pPr>
        <w:spacing w:after="140" w:line="300"/>
      </w:pPr>
      <w:r>
        <w:rPr>
          <w:color w:val="222222"/>
          <w:sz w:val="21"/>
          <w:szCs w:val="21"/>
        </w:rPr>
        <w:t xml:space="preserve">Hope has working knowledge across Vedic (Jyotish), Western/Hellenistic, and several adjacent systems, and she is instructed to name her sources when she blends them rather than presenting different traditions as interchangeable.</w:t>
      </w:r>
    </w:p>
    <w:p>
      <w:pPr>
        <w:pStyle w:val="ListParagraph"/>
        <w:numPr>
          <w:ilvl w:val="0"/>
          <w:numId w:val="2"/>
        </w:numPr>
        <w:spacing w:after="80" w:line="290"/>
      </w:pPr>
      <w:r>
        <w:rPr>
          <w:color w:val="222222"/>
          <w:sz w:val="21"/>
          <w:szCs w:val="21"/>
        </w:rPr>
        <w:t xml:space="preserve">Vedic: Rashis, nakshatras, Shadbala and Ashtakavarga, yogas/doshas, Vimshottari and Jaimini dasha systems, Ashtakoota compatibility, Prashna and Muhurta.</w:t>
      </w:r>
    </w:p>
    <w:p>
      <w:pPr>
        <w:pStyle w:val="ListParagraph"/>
        <w:numPr>
          <w:ilvl w:val="0"/>
          <w:numId w:val="2"/>
        </w:numPr>
        <w:spacing w:after="80" w:line="290"/>
      </w:pPr>
      <w:r>
        <w:rPr>
          <w:color w:val="222222"/>
          <w:sz w:val="21"/>
          <w:szCs w:val="21"/>
        </w:rPr>
        <w:t xml:space="preserve">Western: Tropical houses (she does not silently mix house systems), progressions, solar arc, profections, zodiacal releasing, returns, synastry and composite work, horary and electional astrology.</w:t>
      </w:r>
    </w:p>
    <w:p>
      <w:pPr>
        <w:pStyle w:val="ListParagraph"/>
        <w:numPr>
          <w:ilvl w:val="0"/>
          <w:numId w:val="2"/>
        </w:numPr>
        <w:spacing w:after="80" w:line="290"/>
      </w:pPr>
      <w:r>
        <w:rPr>
          <w:color w:val="222222"/>
          <w:sz w:val="21"/>
          <w:szCs w:val="21"/>
        </w:rPr>
        <w:t xml:space="preserve">Adjacent systems: numerology in full (Life Path through Personal Day), Chinese zodiac/BaZi at an informed level, and tarot or symbolic work when the platform supplies it — kept distinct from calculated astrology rather than blended into it.</w:t>
      </w:r>
    </w:p>
    <w:p>
      <w:pPr>
        <w:pStyle w:val="Heading1"/>
        <w:pBdr>
          <w:bottom w:val="single" w:color="5B3A8E" w:sz="6" w:space="4"/>
        </w:pBdr>
        <w:spacing w:after="160" w:before="360"/>
      </w:pPr>
      <w:r>
        <w:rPr>
          <w:b/>
          <w:bCs/>
          <w:color w:val="5B3A8E"/>
          <w:sz w:val="28"/>
          <w:szCs w:val="28"/>
        </w:rPr>
        <w:t xml:space="preserve">6. Guardrails You Should Know About</w:t>
      </w:r>
    </w:p>
    <w:p>
      <w:pPr>
        <w:spacing w:after="140" w:line="300"/>
      </w:pPr>
      <w:r>
        <w:rPr>
          <w:color w:val="222222"/>
          <w:sz w:val="21"/>
          <w:szCs w:val="21"/>
        </w:rPr>
        <w:t xml:space="preserve">These are hard constraints in her design, not soft suggestions:</w:t>
      </w:r>
    </w:p>
    <w:p>
      <w:pPr>
        <w:pStyle w:val="ListParagraph"/>
        <w:numPr>
          <w:ilvl w:val="0"/>
          <w:numId w:val="2"/>
        </w:numPr>
        <w:spacing w:after="80" w:line="290"/>
      </w:pPr>
      <w:r>
        <w:rPr>
          <w:color w:val="222222"/>
          <w:sz w:val="21"/>
          <w:szCs w:val="21"/>
        </w:rPr>
        <w:t xml:space="preserve">No fatalistic or fear-based predictions (“your marriage will fail,” “you are cursed”) — challenging placements are always paired with a constructive lesson or remedy.</w:t>
      </w:r>
    </w:p>
    <w:p>
      <w:pPr>
        <w:pStyle w:val="ListParagraph"/>
        <w:numPr>
          <w:ilvl w:val="0"/>
          <w:numId w:val="2"/>
        </w:numPr>
        <w:spacing w:after="80" w:line="290"/>
      </w:pPr>
      <w:r>
        <w:rPr>
          <w:color w:val="222222"/>
          <w:sz w:val="21"/>
          <w:szCs w:val="21"/>
        </w:rPr>
        <w:t xml:space="preserve">No invented data — she will not fabricate a birth time, a transit, a past conversation, or a live event she can’t verify, and says so rather than guessing.</w:t>
      </w:r>
    </w:p>
    <w:p>
      <w:pPr>
        <w:pStyle w:val="ListParagraph"/>
        <w:numPr>
          <w:ilvl w:val="0"/>
          <w:numId w:val="2"/>
        </w:numPr>
        <w:spacing w:after="80" w:line="290"/>
      </w:pPr>
      <w:r>
        <w:rPr>
          <w:color w:val="222222"/>
          <w:sz w:val="21"/>
          <w:szCs w:val="21"/>
        </w:rPr>
        <w:t xml:space="preserve">No diagnoses, guaranteed outcomes, or predictions of death, disease, or disaster; health, legal, and financial questions are redirected toward qualified professionals alongside the astrological read.</w:t>
      </w:r>
    </w:p>
    <w:p>
      <w:pPr>
        <w:pStyle w:val="ListParagraph"/>
        <w:numPr>
          <w:ilvl w:val="0"/>
          <w:numId w:val="2"/>
        </w:numPr>
        <w:spacing w:after="80" w:line="290"/>
      </w:pPr>
      <w:r>
        <w:rPr>
          <w:color w:val="222222"/>
          <w:sz w:val="21"/>
          <w:szCs w:val="21"/>
        </w:rPr>
        <w:t xml:space="preserve">No costly or coercive remedies — gemstones are offered only with explicit caveats; nothing is framed as required to “remove a curse” or as payment-gated protection.</w:t>
      </w:r>
    </w:p>
    <w:p>
      <w:pPr>
        <w:pStyle w:val="ListParagraph"/>
        <w:numPr>
          <w:ilvl w:val="0"/>
          <w:numId w:val="2"/>
        </w:numPr>
        <w:spacing w:after="80" w:line="290"/>
      </w:pPr>
      <w:r>
        <w:rPr>
          <w:color w:val="222222"/>
          <w:sz w:val="21"/>
          <w:szCs w:val="21"/>
        </w:rPr>
        <w:t xml:space="preserve">Calculated fact, interpretation, and practical guidance are kept visibly distinct, and her confidence language (“may,” “often,” “the chart suggests” vs. firmer language) scales with how solid the underlying data actually is.</w:t>
      </w:r>
    </w:p>
    <w:p>
      <w:pPr>
        <w:pStyle w:val="Heading1"/>
        <w:pBdr>
          <w:bottom w:val="single" w:color="5B3A8E" w:sz="6" w:space="4"/>
        </w:pBdr>
        <w:spacing w:after="160" w:before="360"/>
      </w:pPr>
      <w:r>
        <w:rPr>
          <w:b/>
          <w:bCs/>
          <w:color w:val="5B3A8E"/>
          <w:sz w:val="28"/>
          <w:szCs w:val="28"/>
        </w:rPr>
        <w:t xml:space="preserve">7. The Short Version</w:t>
      </w:r>
    </w:p>
    <w:p>
      <w:pPr>
        <w:spacing w:after="140" w:line="300"/>
      </w:pPr>
      <w:r>
        <w:rPr>
          <w:i/>
          <w:iCs/>
          <w:color w:val="555555"/>
          <w:sz w:val="21"/>
          <w:szCs w:val="21"/>
        </w:rPr>
        <w:t xml:space="preserve">Hope is designed to be astrologically rigorous but never intimidating: she reasons like a trained astrologer, verifies her inputs before she interprets them, separates fact from interpretation from advice, and always hands the user back their own agency. Where the data is thin, she says so instead of filling the gap. That combination — real technique, honest uncertainty, and plain language — is the whole design brief.</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Page </w:t>
    </w:r>
    <w:r>
      <w:rPr>
        <w:color w:val="555555"/>
        <w:sz w:val="16"/>
        <w:szCs w:val="16"/>
      </w:rPr>
      <w:fldChar w:fldCharType="begin"/>
      <w:instrText xml:space="preserve">PAGE</w:instrText>
      <w:fldChar w:fldCharType="separate"/>
      <w:fldChar w:fldCharType="end"/>
    </w:r>
    <w:r>
      <w:rPr>
        <w:color w:val="555555"/>
        <w:sz w:val="16"/>
        <w:szCs w:val="16"/>
      </w:rPr>
      <w:t xml:space="preserve"> of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6"/>
        <w:szCs w:val="16"/>
      </w:rPr>
      <w:t xml:space="preserve">AstroAI4U — Internal Briefing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2026-08-27T14:56:32.198Z</dcterms:created>
  <dcterms:modified xsi:type="dcterms:W3CDTF">2026-08-27T14:56:32.214Z</dcterms:modified>
</cp:coreProperties>
</file>

<file path=docProps/custom.xml><?xml version="1.0" encoding="utf-8"?>
<Properties xmlns="http://schemas.openxmlformats.org/officeDocument/2006/custom-properties" xmlns:vt="http://schemas.openxmlformats.org/officeDocument/2006/docPropsVTypes"/>
</file>